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4F" w:rsidRDefault="00FC104F" w:rsidP="00FC104F">
      <w:pPr>
        <w:ind w:left="-1701"/>
        <w:jc w:val="center"/>
        <w:rPr>
          <w:rFonts w:ascii="Times New Roman" w:hAnsi="Times New Roman"/>
          <w:b/>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75pt;height:795.75pt">
            <v:imagedata r:id="rId7" o:title="Решение №137А"/>
          </v:shape>
        </w:pict>
      </w:r>
    </w:p>
    <w:p w:rsidR="00463D8C" w:rsidRPr="00432E2B" w:rsidRDefault="00463D8C" w:rsidP="00432E2B">
      <w:pPr>
        <w:ind w:firstLine="567"/>
        <w:jc w:val="center"/>
        <w:rPr>
          <w:rFonts w:ascii="Times New Roman" w:hAnsi="Times New Roman"/>
          <w:b/>
          <w:sz w:val="28"/>
          <w:szCs w:val="24"/>
        </w:rPr>
      </w:pPr>
      <w:r w:rsidRPr="00432E2B">
        <w:rPr>
          <w:rFonts w:ascii="Times New Roman" w:hAnsi="Times New Roman"/>
          <w:b/>
          <w:sz w:val="28"/>
          <w:szCs w:val="24"/>
        </w:rPr>
        <w:lastRenderedPageBreak/>
        <w:t xml:space="preserve">Местные нормативы градостроительного проектирования на территории </w:t>
      </w:r>
      <w:r w:rsidR="00AB60FC">
        <w:rPr>
          <w:rFonts w:ascii="Times New Roman" w:hAnsi="Times New Roman"/>
          <w:b/>
          <w:sz w:val="28"/>
          <w:szCs w:val="24"/>
        </w:rPr>
        <w:t>Рудневоробьевского</w:t>
      </w:r>
      <w:r w:rsidRPr="00432E2B">
        <w:rPr>
          <w:rFonts w:ascii="Times New Roman" w:hAnsi="Times New Roman"/>
          <w:b/>
          <w:sz w:val="28"/>
          <w:szCs w:val="24"/>
        </w:rPr>
        <w:t xml:space="preserve"> сельского поселения</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1.Общие положения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1.1. Местные нормативы градостроительного проектирования на территории муниципального образования </w:t>
      </w:r>
      <w:r w:rsidR="00AB60FC">
        <w:rPr>
          <w:rFonts w:ascii="Times New Roman" w:hAnsi="Times New Roman"/>
          <w:sz w:val="24"/>
          <w:szCs w:val="24"/>
        </w:rPr>
        <w:t>Рудневоробьевское</w:t>
      </w:r>
      <w:r w:rsidRPr="00432E2B">
        <w:rPr>
          <w:rFonts w:ascii="Times New Roman" w:hAnsi="Times New Roman"/>
          <w:sz w:val="24"/>
          <w:szCs w:val="24"/>
        </w:rPr>
        <w:t xml:space="preserve"> сельское поселение (далее местные нормативы) разработаны в соответствии с Градостроительным кодексом Российской Федерации от 29.12.2004 №190-ФЗ, СП 42.13330.2011 «Градостроительство. Планировка и застройка городских и сельских поселений», Федер</w:t>
      </w:r>
      <w:bookmarkStart w:id="0" w:name="_GoBack"/>
      <w:bookmarkEnd w:id="0"/>
      <w:r w:rsidRPr="00432E2B">
        <w:rPr>
          <w:rFonts w:ascii="Times New Roman" w:hAnsi="Times New Roman"/>
          <w:sz w:val="24"/>
          <w:szCs w:val="24"/>
        </w:rPr>
        <w:t xml:space="preserve">ального закона от 22.07.2008 №123-ФЗ «Технический регламент о требованиях пожарной безопасности», с учетом территориальных, природных, исторических, социально-экономических и иных условий градостроительной деятельности на территории </w:t>
      </w:r>
      <w:r w:rsidR="00AB60FC">
        <w:rPr>
          <w:rFonts w:ascii="Times New Roman" w:hAnsi="Times New Roman"/>
          <w:sz w:val="24"/>
          <w:szCs w:val="24"/>
        </w:rPr>
        <w:t>Рудневоробьевского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1.2. Местные нормативы распространяются на новые и реконструируемые жилые территориальные зоны </w:t>
      </w:r>
      <w:r w:rsidR="00AB60FC">
        <w:rPr>
          <w:rFonts w:ascii="Times New Roman" w:hAnsi="Times New Roman"/>
          <w:sz w:val="24"/>
          <w:szCs w:val="24"/>
        </w:rPr>
        <w:t>Рудневоробьевского</w:t>
      </w:r>
      <w:r w:rsidRPr="00432E2B">
        <w:rPr>
          <w:rFonts w:ascii="Times New Roman" w:hAnsi="Times New Roman"/>
          <w:sz w:val="24"/>
          <w:szCs w:val="24"/>
        </w:rPr>
        <w:t xml:space="preserve"> сельского поселения, включая объекты жилого, общественного и административного назначения, территории обслуживающих их сетей и объектов социальной и инженерной инфраструктуры.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1.3. Местные нормативы применяются:</w:t>
      </w:r>
    </w:p>
    <w:p w:rsidR="00463D8C" w:rsidRPr="00432E2B" w:rsidRDefault="00463D8C" w:rsidP="00432E2B">
      <w:pPr>
        <w:numPr>
          <w:ilvl w:val="0"/>
          <w:numId w:val="3"/>
        </w:numPr>
        <w:spacing w:after="0"/>
        <w:ind w:left="0" w:firstLine="567"/>
        <w:jc w:val="both"/>
        <w:rPr>
          <w:rFonts w:ascii="Times New Roman" w:hAnsi="Times New Roman"/>
          <w:sz w:val="24"/>
          <w:szCs w:val="24"/>
        </w:rPr>
      </w:pPr>
      <w:r w:rsidRPr="00432E2B">
        <w:rPr>
          <w:rFonts w:ascii="Times New Roman" w:hAnsi="Times New Roman"/>
          <w:sz w:val="24"/>
          <w:szCs w:val="24"/>
        </w:rPr>
        <w:t>при подготовке документов территориального планирования, проведении государственной экспертизы, согласовании и утверждении проектов документов территориального планирования;</w:t>
      </w:r>
    </w:p>
    <w:p w:rsidR="00463D8C" w:rsidRPr="00432E2B" w:rsidRDefault="00463D8C" w:rsidP="00432E2B">
      <w:pPr>
        <w:numPr>
          <w:ilvl w:val="0"/>
          <w:numId w:val="3"/>
        </w:numPr>
        <w:ind w:left="0" w:firstLine="567"/>
        <w:jc w:val="both"/>
        <w:rPr>
          <w:rFonts w:ascii="Times New Roman" w:hAnsi="Times New Roman"/>
          <w:sz w:val="24"/>
          <w:szCs w:val="24"/>
        </w:rPr>
      </w:pPr>
      <w:r w:rsidRPr="00432E2B">
        <w:rPr>
          <w:rFonts w:ascii="Times New Roman" w:hAnsi="Times New Roman"/>
          <w:sz w:val="24"/>
          <w:szCs w:val="24"/>
        </w:rPr>
        <w:t>при подготовки проектной документации, проведении государственной экспертизы проектной документации, рассмотрении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1.4. В состав местных нормативов входят требования, которые применяются при проектировании, строительстве, проведении капитального ремонта и реконструкции.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1.5. Местные нормативы содержат минимальные расчетные показатели обеспечения благоприятных условий жизнедеятельности человека: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организации в составе жилых территорий общественных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рекреации;</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населения и жилых территорий социально значимыми объектами обслуживания;</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инженерной подготовке территории;</w:t>
      </w:r>
    </w:p>
    <w:p w:rsidR="00463D8C" w:rsidRPr="00432E2B" w:rsidRDefault="00463D8C" w:rsidP="00432E2B">
      <w:pPr>
        <w:numPr>
          <w:ilvl w:val="0"/>
          <w:numId w:val="2"/>
        </w:numPr>
        <w:ind w:left="0" w:firstLine="567"/>
        <w:jc w:val="both"/>
        <w:rPr>
          <w:rFonts w:ascii="Times New Roman" w:hAnsi="Times New Roman"/>
          <w:sz w:val="24"/>
          <w:szCs w:val="24"/>
        </w:rPr>
      </w:pPr>
      <w:r w:rsidRPr="00432E2B">
        <w:rPr>
          <w:rFonts w:ascii="Times New Roman" w:hAnsi="Times New Roman"/>
          <w:sz w:val="24"/>
          <w:szCs w:val="24"/>
        </w:rPr>
        <w:t>по комплексному благоустройству территории и оснащению территории элементами благоустройства.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1.6. Местные нормативы обязательны для соблюдения органами государственной власти, органами местного самоуправления, гражданами и юридическими лицами, осуществляющими градостроительную деятельность на территории </w:t>
      </w:r>
      <w:r w:rsidR="00AB60FC">
        <w:rPr>
          <w:rFonts w:ascii="Times New Roman" w:hAnsi="Times New Roman"/>
          <w:sz w:val="24"/>
          <w:szCs w:val="24"/>
        </w:rPr>
        <w:t>Рудневоробьевского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1.7. Контроль за соблюдением местных нормативов осуществляется в следующих случаях:</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выдаче разрешений на строительство;</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463D8C" w:rsidRPr="00432E2B" w:rsidRDefault="00463D8C" w:rsidP="00432E2B">
      <w:pPr>
        <w:numPr>
          <w:ilvl w:val="0"/>
          <w:numId w:val="4"/>
        </w:numPr>
        <w:ind w:left="0" w:firstLine="567"/>
        <w:jc w:val="both"/>
        <w:rPr>
          <w:rFonts w:ascii="Times New Roman" w:hAnsi="Times New Roman"/>
          <w:sz w:val="24"/>
          <w:szCs w:val="24"/>
        </w:rPr>
      </w:pPr>
      <w:r w:rsidRPr="00432E2B">
        <w:rPr>
          <w:rFonts w:ascii="Times New Roman" w:hAnsi="Times New Roman"/>
          <w:sz w:val="24"/>
          <w:szCs w:val="24"/>
        </w:rPr>
        <w:t>при проведении государственной экспертизы документов территориального планирования,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1.8. Проверку соблюдения местных нормативов осуществляет администрация Гордеевского района в пределах своей компетенции.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1.9. Проектная документация, выполненная с нарушением местных нормативов не подлежит утверждению.</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2. Общая организация и зонирование территории сельского поселения.</w:t>
      </w:r>
    </w:p>
    <w:p w:rsidR="00AB60FC" w:rsidRPr="00AB60FC" w:rsidRDefault="00AB60FC" w:rsidP="00AB60FC">
      <w:pPr>
        <w:ind w:firstLine="709"/>
        <w:jc w:val="both"/>
        <w:rPr>
          <w:rFonts w:ascii="Times New Roman" w:hAnsi="Times New Roman"/>
          <w:sz w:val="24"/>
          <w:szCs w:val="28"/>
        </w:rPr>
      </w:pPr>
      <w:r w:rsidRPr="00AB60FC">
        <w:rPr>
          <w:rFonts w:ascii="Times New Roman" w:hAnsi="Times New Roman"/>
          <w:sz w:val="24"/>
          <w:szCs w:val="28"/>
        </w:rPr>
        <w:t xml:space="preserve">2.1. Площадь территории Рудневоробьевского сельского поселения составляет </w:t>
      </w:r>
      <w:r w:rsidRPr="00AB60FC">
        <w:rPr>
          <w:rFonts w:ascii="Times New Roman" w:hAnsi="Times New Roman"/>
          <w:sz w:val="24"/>
        </w:rPr>
        <w:t>837 га</w:t>
      </w:r>
      <w:r w:rsidRPr="00AB60FC">
        <w:rPr>
          <w:rFonts w:ascii="Times New Roman" w:hAnsi="Times New Roman"/>
          <w:sz w:val="24"/>
          <w:szCs w:val="28"/>
        </w:rPr>
        <w:t xml:space="preserve">. В состав поселения входят 10 населенных пунктов: </w:t>
      </w:r>
      <w:proofErr w:type="spellStart"/>
      <w:r w:rsidRPr="00AB60FC">
        <w:rPr>
          <w:rFonts w:ascii="Times New Roman" w:hAnsi="Times New Roman"/>
          <w:sz w:val="24"/>
          <w:szCs w:val="28"/>
        </w:rPr>
        <w:t>с.Ширяевка</w:t>
      </w:r>
      <w:proofErr w:type="spellEnd"/>
      <w:r w:rsidRPr="00AB60FC">
        <w:rPr>
          <w:rFonts w:ascii="Times New Roman" w:hAnsi="Times New Roman"/>
          <w:sz w:val="24"/>
          <w:szCs w:val="28"/>
        </w:rPr>
        <w:t xml:space="preserve">, </w:t>
      </w:r>
      <w:proofErr w:type="spellStart"/>
      <w:r w:rsidRPr="00AB60FC">
        <w:rPr>
          <w:rFonts w:ascii="Times New Roman" w:hAnsi="Times New Roman"/>
          <w:sz w:val="24"/>
          <w:szCs w:val="28"/>
        </w:rPr>
        <w:t>д.Староновицкая</w:t>
      </w:r>
      <w:proofErr w:type="spellEnd"/>
      <w:r w:rsidRPr="00AB60FC">
        <w:rPr>
          <w:rFonts w:ascii="Times New Roman" w:hAnsi="Times New Roman"/>
          <w:sz w:val="24"/>
          <w:szCs w:val="28"/>
        </w:rPr>
        <w:t xml:space="preserve">, д. Рудня-Воробьевка, д. </w:t>
      </w:r>
      <w:proofErr w:type="spellStart"/>
      <w:r w:rsidRPr="00AB60FC">
        <w:rPr>
          <w:rFonts w:ascii="Times New Roman" w:hAnsi="Times New Roman"/>
          <w:sz w:val="24"/>
          <w:szCs w:val="28"/>
        </w:rPr>
        <w:t>Новоновицкая</w:t>
      </w:r>
      <w:proofErr w:type="spellEnd"/>
      <w:r w:rsidRPr="00AB60FC">
        <w:rPr>
          <w:rFonts w:ascii="Times New Roman" w:hAnsi="Times New Roman"/>
          <w:sz w:val="24"/>
          <w:szCs w:val="28"/>
        </w:rPr>
        <w:t xml:space="preserve">, д. Поповка, </w:t>
      </w:r>
      <w:proofErr w:type="spellStart"/>
      <w:r w:rsidRPr="00AB60FC">
        <w:rPr>
          <w:rFonts w:ascii="Times New Roman" w:hAnsi="Times New Roman"/>
          <w:sz w:val="24"/>
          <w:szCs w:val="28"/>
        </w:rPr>
        <w:t>д.Старая</w:t>
      </w:r>
      <w:proofErr w:type="spellEnd"/>
      <w:r w:rsidRPr="00AB60FC">
        <w:rPr>
          <w:rFonts w:ascii="Times New Roman" w:hAnsi="Times New Roman"/>
          <w:sz w:val="24"/>
          <w:szCs w:val="28"/>
        </w:rPr>
        <w:t xml:space="preserve"> Полона, д. </w:t>
      </w:r>
      <w:proofErr w:type="spellStart"/>
      <w:r w:rsidRPr="00AB60FC">
        <w:rPr>
          <w:rFonts w:ascii="Times New Roman" w:hAnsi="Times New Roman"/>
          <w:sz w:val="24"/>
          <w:szCs w:val="28"/>
        </w:rPr>
        <w:t>Нежча</w:t>
      </w:r>
      <w:proofErr w:type="spellEnd"/>
      <w:r w:rsidRPr="00AB60FC">
        <w:rPr>
          <w:rFonts w:ascii="Times New Roman" w:hAnsi="Times New Roman"/>
          <w:sz w:val="24"/>
          <w:szCs w:val="28"/>
        </w:rPr>
        <w:t xml:space="preserve">, д. </w:t>
      </w:r>
      <w:proofErr w:type="spellStart"/>
      <w:r w:rsidRPr="00AB60FC">
        <w:rPr>
          <w:rFonts w:ascii="Times New Roman" w:hAnsi="Times New Roman"/>
          <w:sz w:val="24"/>
          <w:szCs w:val="28"/>
        </w:rPr>
        <w:t>Петраковка</w:t>
      </w:r>
      <w:proofErr w:type="spellEnd"/>
      <w:r w:rsidRPr="00AB60FC">
        <w:rPr>
          <w:rFonts w:ascii="Times New Roman" w:hAnsi="Times New Roman"/>
          <w:sz w:val="24"/>
          <w:szCs w:val="28"/>
        </w:rPr>
        <w:t xml:space="preserve">, </w:t>
      </w:r>
      <w:proofErr w:type="spellStart"/>
      <w:r w:rsidRPr="00AB60FC">
        <w:rPr>
          <w:rFonts w:ascii="Times New Roman" w:hAnsi="Times New Roman"/>
          <w:sz w:val="24"/>
          <w:szCs w:val="28"/>
        </w:rPr>
        <w:t>д.Удел</w:t>
      </w:r>
      <w:proofErr w:type="spellEnd"/>
      <w:r w:rsidRPr="00AB60FC">
        <w:rPr>
          <w:rFonts w:ascii="Times New Roman" w:hAnsi="Times New Roman"/>
          <w:sz w:val="24"/>
          <w:szCs w:val="28"/>
        </w:rPr>
        <w:t xml:space="preserve">, </w:t>
      </w:r>
      <w:proofErr w:type="spellStart"/>
      <w:r w:rsidRPr="00AB60FC">
        <w:rPr>
          <w:rFonts w:ascii="Times New Roman" w:hAnsi="Times New Roman"/>
          <w:sz w:val="24"/>
          <w:szCs w:val="28"/>
        </w:rPr>
        <w:t>д.Дмитриевка</w:t>
      </w:r>
      <w:proofErr w:type="spellEnd"/>
      <w:r w:rsidRPr="00AB60FC">
        <w:rPr>
          <w:rFonts w:ascii="Times New Roman" w:hAnsi="Times New Roman"/>
          <w:sz w:val="24"/>
          <w:szCs w:val="28"/>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2.2. Населенные пункты поселения следует проектировать с учетом документов территориального планирования и других нормативных правовых актов в области градостроительства областного и муниципального уровней. Общая потребность в территории для развития поселения, включая резервные территории, определяется на основе документов территориального планирования (генеральн</w:t>
      </w:r>
      <w:r w:rsidR="009C4ECE" w:rsidRPr="00432E2B">
        <w:rPr>
          <w:rFonts w:ascii="Times New Roman" w:hAnsi="Times New Roman"/>
          <w:sz w:val="24"/>
          <w:szCs w:val="24"/>
        </w:rPr>
        <w:t>ого</w:t>
      </w:r>
      <w:r w:rsidRPr="00432E2B">
        <w:rPr>
          <w:rFonts w:ascii="Times New Roman" w:hAnsi="Times New Roman"/>
          <w:sz w:val="24"/>
          <w:szCs w:val="24"/>
        </w:rPr>
        <w:t xml:space="preserve"> план</w:t>
      </w:r>
      <w:r w:rsidR="009C4ECE" w:rsidRPr="00432E2B">
        <w:rPr>
          <w:rFonts w:ascii="Times New Roman" w:hAnsi="Times New Roman"/>
          <w:sz w:val="24"/>
          <w:szCs w:val="24"/>
        </w:rPr>
        <w:t>а</w:t>
      </w:r>
      <w:r w:rsidRPr="00432E2B">
        <w:rPr>
          <w:rFonts w:ascii="Times New Roman" w:hAnsi="Times New Roman"/>
          <w:sz w:val="24"/>
          <w:szCs w:val="24"/>
        </w:rPr>
        <w:t xml:space="preserve"> поселения).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2.3. Порядок отвода земель и изменения границ населенных пунктов определяется градостроительным и земельным законодательством Российской Федерации, а также принятыми в соответствии с ними нормативными правовыми актами Брянской области. Возможные направления территориального развития населенных пунктов, входящих в состав поселения, определяются генеральными планами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2.4.</w:t>
      </w:r>
      <w:r w:rsidR="009C4ECE" w:rsidRPr="00432E2B">
        <w:rPr>
          <w:rFonts w:ascii="Times New Roman" w:hAnsi="Times New Roman"/>
          <w:sz w:val="24"/>
          <w:szCs w:val="24"/>
        </w:rPr>
        <w:t xml:space="preserve"> </w:t>
      </w:r>
      <w:r w:rsidRPr="00432E2B">
        <w:rPr>
          <w:rFonts w:ascii="Times New Roman" w:hAnsi="Times New Roman"/>
          <w:sz w:val="24"/>
          <w:szCs w:val="24"/>
        </w:rPr>
        <w:t xml:space="preserve">В пределах указанных территорий в результате градостроительного зонирования могут устанавливаться следующие территориальные зоны: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жилые;</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общественно-деловые и коммерческие;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специальные обслуживающие и деловые для объектов с большими земельными участками;</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специального назначения; </w:t>
      </w:r>
    </w:p>
    <w:p w:rsidR="00463D8C" w:rsidRPr="00432E2B" w:rsidRDefault="00463D8C" w:rsidP="00432E2B">
      <w:pPr>
        <w:numPr>
          <w:ilvl w:val="0"/>
          <w:numId w:val="5"/>
        </w:numPr>
        <w:ind w:left="0" w:firstLine="567"/>
        <w:jc w:val="both"/>
        <w:rPr>
          <w:rFonts w:ascii="Times New Roman" w:hAnsi="Times New Roman"/>
          <w:sz w:val="24"/>
          <w:szCs w:val="24"/>
        </w:rPr>
      </w:pPr>
      <w:r w:rsidRPr="00432E2B">
        <w:rPr>
          <w:rFonts w:ascii="Times New Roman" w:hAnsi="Times New Roman"/>
          <w:sz w:val="24"/>
          <w:szCs w:val="24"/>
        </w:rPr>
        <w:t>сельскохозяйственные;</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2.5. В состав жилых зон могут включаться зоны застройки:</w:t>
      </w:r>
    </w:p>
    <w:p w:rsidR="00463D8C" w:rsidRPr="00432E2B" w:rsidRDefault="00463D8C" w:rsidP="00432E2B">
      <w:pPr>
        <w:numPr>
          <w:ilvl w:val="0"/>
          <w:numId w:val="2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индивидуальными жилыми домами; </w:t>
      </w:r>
    </w:p>
    <w:p w:rsidR="00463D8C" w:rsidRPr="00432E2B" w:rsidRDefault="00463D8C" w:rsidP="00432E2B">
      <w:pPr>
        <w:numPr>
          <w:ilvl w:val="0"/>
          <w:numId w:val="20"/>
        </w:numPr>
        <w:ind w:left="0" w:firstLine="567"/>
        <w:jc w:val="both"/>
        <w:rPr>
          <w:rFonts w:ascii="Times New Roman" w:hAnsi="Times New Roman"/>
          <w:sz w:val="24"/>
          <w:szCs w:val="24"/>
        </w:rPr>
      </w:pPr>
      <w:r w:rsidRPr="00432E2B">
        <w:rPr>
          <w:rFonts w:ascii="Times New Roman" w:hAnsi="Times New Roman"/>
          <w:sz w:val="24"/>
          <w:szCs w:val="24"/>
        </w:rPr>
        <w:t xml:space="preserve">малоэтажными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2.6. В состав общественно-деловых и коммерческих зон могут включаться:</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зоны делового центра;</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обслуживания и деловой активности местного назначения; </w:t>
      </w:r>
    </w:p>
    <w:p w:rsidR="00463D8C" w:rsidRPr="00432E2B" w:rsidRDefault="00463D8C" w:rsidP="00432E2B">
      <w:pPr>
        <w:numPr>
          <w:ilvl w:val="0"/>
          <w:numId w:val="6"/>
        </w:numPr>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зоны открытых рынков, оптовой торговли;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2.7. В состав специальные обслуживающие и деловые для объектов с большими земельными участками зоны могут включаться:</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учреждений здравоохранения;</w:t>
      </w:r>
    </w:p>
    <w:p w:rsidR="009C4ECE"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высших, средних специальных учебных заведений и научных комплексов; </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спортивных и спортивно-зрелищных сооружений;</w:t>
      </w:r>
    </w:p>
    <w:p w:rsidR="00463D8C" w:rsidRPr="00432E2B" w:rsidRDefault="00463D8C" w:rsidP="00432E2B">
      <w:pPr>
        <w:numPr>
          <w:ilvl w:val="0"/>
          <w:numId w:val="7"/>
        </w:numPr>
        <w:ind w:left="0" w:firstLine="567"/>
        <w:jc w:val="both"/>
        <w:rPr>
          <w:rFonts w:ascii="Times New Roman" w:hAnsi="Times New Roman"/>
          <w:sz w:val="24"/>
          <w:szCs w:val="24"/>
        </w:rPr>
      </w:pPr>
      <w:r w:rsidRPr="00432E2B">
        <w:rPr>
          <w:rFonts w:ascii="Times New Roman" w:hAnsi="Times New Roman"/>
          <w:sz w:val="24"/>
          <w:szCs w:val="24"/>
        </w:rPr>
        <w:t xml:space="preserve">зоны объектов религиозного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2.8. В состав зон специального назначения могут включаться:</w:t>
      </w:r>
    </w:p>
    <w:p w:rsidR="00463D8C" w:rsidRPr="00432E2B" w:rsidRDefault="00463D8C" w:rsidP="00432E2B">
      <w:pPr>
        <w:numPr>
          <w:ilvl w:val="0"/>
          <w:numId w:val="21"/>
        </w:numPr>
        <w:ind w:left="0" w:firstLine="567"/>
        <w:jc w:val="both"/>
        <w:rPr>
          <w:rFonts w:ascii="Times New Roman" w:hAnsi="Times New Roman"/>
          <w:sz w:val="24"/>
          <w:szCs w:val="24"/>
        </w:rPr>
      </w:pPr>
      <w:r w:rsidRPr="00432E2B">
        <w:rPr>
          <w:rFonts w:ascii="Times New Roman" w:hAnsi="Times New Roman"/>
          <w:sz w:val="24"/>
          <w:szCs w:val="24"/>
        </w:rPr>
        <w:t>зоны кладбищ;</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2.9. В состав зон сельскохозяйственного использования могут включаться: </w:t>
      </w:r>
    </w:p>
    <w:p w:rsidR="00463D8C" w:rsidRPr="00432E2B" w:rsidRDefault="00463D8C" w:rsidP="00432E2B">
      <w:pPr>
        <w:numPr>
          <w:ilvl w:val="0"/>
          <w:numId w:val="8"/>
        </w:numPr>
        <w:spacing w:after="0"/>
        <w:ind w:left="0" w:firstLine="567"/>
        <w:jc w:val="both"/>
        <w:rPr>
          <w:rFonts w:ascii="Times New Roman" w:hAnsi="Times New Roman"/>
          <w:sz w:val="24"/>
          <w:szCs w:val="24"/>
        </w:rPr>
      </w:pPr>
      <w:r w:rsidRPr="00432E2B">
        <w:rPr>
          <w:rFonts w:ascii="Times New Roman" w:hAnsi="Times New Roman"/>
          <w:sz w:val="24"/>
          <w:szCs w:val="24"/>
        </w:rPr>
        <w:t>зоны сельскохозяйственных угодий;</w:t>
      </w:r>
    </w:p>
    <w:p w:rsidR="00463D8C" w:rsidRPr="00432E2B" w:rsidRDefault="00463D8C" w:rsidP="00432E2B">
      <w:pPr>
        <w:numPr>
          <w:ilvl w:val="0"/>
          <w:numId w:val="8"/>
        </w:numPr>
        <w:ind w:left="0" w:firstLine="567"/>
        <w:jc w:val="both"/>
        <w:rPr>
          <w:rFonts w:ascii="Times New Roman" w:hAnsi="Times New Roman"/>
          <w:sz w:val="24"/>
          <w:szCs w:val="24"/>
        </w:rPr>
      </w:pPr>
      <w:r w:rsidRPr="00432E2B">
        <w:rPr>
          <w:rFonts w:ascii="Times New Roman" w:hAnsi="Times New Roman"/>
          <w:sz w:val="24"/>
          <w:szCs w:val="24"/>
        </w:rPr>
        <w:t xml:space="preserve">зоны, занятые объектами сельскохозяйственного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2.10. В состав зон коммунального и производственного назначения могут включаться:</w:t>
      </w:r>
    </w:p>
    <w:p w:rsidR="00463D8C" w:rsidRPr="00432E2B" w:rsidRDefault="00463D8C" w:rsidP="00432E2B">
      <w:pPr>
        <w:numPr>
          <w:ilvl w:val="0"/>
          <w:numId w:val="9"/>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w:t>
      </w:r>
      <w:r w:rsidRPr="00432E2B">
        <w:rPr>
          <w:rFonts w:ascii="Times New Roman" w:hAnsi="Times New Roman"/>
          <w:sz w:val="24"/>
          <w:szCs w:val="24"/>
        </w:rPr>
        <w:t xml:space="preserve"> класса вредности</w:t>
      </w:r>
    </w:p>
    <w:p w:rsidR="00463D8C" w:rsidRPr="00432E2B" w:rsidRDefault="00463D8C" w:rsidP="00432E2B">
      <w:pPr>
        <w:numPr>
          <w:ilvl w:val="0"/>
          <w:numId w:val="9"/>
        </w:numPr>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II</w:t>
      </w:r>
      <w:r w:rsidRPr="00432E2B">
        <w:rPr>
          <w:rFonts w:ascii="Times New Roman" w:hAnsi="Times New Roman"/>
          <w:sz w:val="24"/>
          <w:szCs w:val="24"/>
        </w:rPr>
        <w:t xml:space="preserve"> класса вредности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2.11. 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2.12. 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об объектах культурного наследия, иными федеральными законами.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2.13. Границы территориальных зон могут устанавливаться по: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линиям магистралей, улиц, проездов, разделяющим транспортные потоки противоположных направлений;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красным линиям;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земельных участков;</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населенных пунктов в предел</w:t>
      </w:r>
      <w:r w:rsidR="009C4ECE" w:rsidRPr="00432E2B">
        <w:rPr>
          <w:rFonts w:ascii="Times New Roman" w:hAnsi="Times New Roman"/>
          <w:sz w:val="24"/>
          <w:szCs w:val="24"/>
        </w:rPr>
        <w:t xml:space="preserve">ах муниципальных образований; </w:t>
      </w:r>
      <w:r w:rsidRPr="00432E2B">
        <w:rPr>
          <w:rFonts w:ascii="Times New Roman" w:hAnsi="Times New Roman"/>
          <w:sz w:val="24"/>
          <w:szCs w:val="24"/>
        </w:rPr>
        <w:t>границам муниципальных образований;</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естественным границам природных объектов;</w:t>
      </w:r>
    </w:p>
    <w:p w:rsidR="00463D8C" w:rsidRPr="00432E2B" w:rsidRDefault="009C4ECE" w:rsidP="00432E2B">
      <w:pPr>
        <w:numPr>
          <w:ilvl w:val="0"/>
          <w:numId w:val="10"/>
        </w:numPr>
        <w:ind w:left="0" w:firstLine="567"/>
        <w:jc w:val="both"/>
        <w:rPr>
          <w:rFonts w:ascii="Times New Roman" w:hAnsi="Times New Roman"/>
          <w:sz w:val="24"/>
          <w:szCs w:val="24"/>
        </w:rPr>
      </w:pPr>
      <w:r w:rsidRPr="00432E2B">
        <w:rPr>
          <w:rFonts w:ascii="Times New Roman" w:hAnsi="Times New Roman"/>
          <w:sz w:val="24"/>
          <w:szCs w:val="24"/>
        </w:rPr>
        <w:t>и</w:t>
      </w:r>
      <w:r w:rsidR="00463D8C" w:rsidRPr="00432E2B">
        <w:rPr>
          <w:rFonts w:ascii="Times New Roman" w:hAnsi="Times New Roman"/>
          <w:sz w:val="24"/>
          <w:szCs w:val="24"/>
        </w:rPr>
        <w:t xml:space="preserve">ным границам.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2.14. Красные линии и линии регулирования застройки жилых территорий определяются проектами планировки с учетом особенностей использования земельных участков и объектов капитального строительства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2.15. Для коммуникаций и сооружений внешнего транспорта (автомобильного, трубопроводного) устанавливаются границы полос отвода, санитарные разрывы, санитарные полосы отчуждения. </w:t>
      </w:r>
    </w:p>
    <w:p w:rsidR="00432E2B" w:rsidRPr="00226F1C" w:rsidRDefault="00463D8C" w:rsidP="00226F1C">
      <w:pPr>
        <w:ind w:firstLine="567"/>
        <w:jc w:val="both"/>
        <w:rPr>
          <w:rFonts w:ascii="Times New Roman" w:hAnsi="Times New Roman"/>
          <w:sz w:val="24"/>
          <w:szCs w:val="24"/>
        </w:rPr>
      </w:pPr>
      <w:r w:rsidRPr="00432E2B">
        <w:rPr>
          <w:rFonts w:ascii="Times New Roman" w:hAnsi="Times New Roman"/>
          <w:sz w:val="24"/>
          <w:szCs w:val="24"/>
        </w:rPr>
        <w:t>2.16.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федеральными и областными нормативными правовыми актами, а также настоящими нормативами.</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 Планировка и застройка жилых территориальных зон.</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3.1.Общие требования.</w:t>
      </w:r>
    </w:p>
    <w:p w:rsidR="00463D8C" w:rsidRPr="00432E2B" w:rsidRDefault="00463D8C" w:rsidP="00432E2B">
      <w:pPr>
        <w:ind w:firstLine="567"/>
        <w:jc w:val="both"/>
        <w:rPr>
          <w:sz w:val="24"/>
          <w:szCs w:val="24"/>
        </w:rPr>
      </w:pPr>
      <w:r w:rsidRPr="00432E2B">
        <w:rPr>
          <w:rFonts w:ascii="Times New Roman" w:hAnsi="Times New Roman"/>
          <w:sz w:val="24"/>
          <w:szCs w:val="24"/>
        </w:rPr>
        <w:t>3.1.1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Существующие и планируемые границы жилых территориальных зон, элементов планировочной структуры, параметры их планируемого развития, градостроительные регл</w:t>
      </w:r>
      <w:r w:rsidR="009C4ECE" w:rsidRPr="00432E2B">
        <w:rPr>
          <w:rFonts w:ascii="Times New Roman" w:hAnsi="Times New Roman"/>
          <w:sz w:val="24"/>
          <w:szCs w:val="24"/>
        </w:rPr>
        <w:t xml:space="preserve">аменты определяются генеральным планом </w:t>
      </w:r>
      <w:r w:rsidRPr="00432E2B">
        <w:rPr>
          <w:rFonts w:ascii="Times New Roman" w:hAnsi="Times New Roman"/>
          <w:sz w:val="24"/>
          <w:szCs w:val="24"/>
        </w:rPr>
        <w:t xml:space="preserve">населенных пунктов и Правилами землепользования и застройки </w:t>
      </w:r>
      <w:r w:rsidR="00AB60FC">
        <w:rPr>
          <w:rFonts w:ascii="Times New Roman" w:hAnsi="Times New Roman"/>
          <w:sz w:val="24"/>
          <w:szCs w:val="24"/>
        </w:rPr>
        <w:t>Рудневоробьевского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Красные линии и линии регулирования застройки жилых территорий определяются проектами планировки с учетом особенностей.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3.1.2. Состав функциональных элементов земельных участков, подлежащих жилой застройке, включает в себя:</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жилые дома (или их комплексы);</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жилыми домами;</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открытые площадки для временного хранения автомобилей;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придомовые зеленые насаждения, площадки для отдыха и игр детей;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площадки;</w:t>
      </w:r>
    </w:p>
    <w:p w:rsidR="00463D8C" w:rsidRPr="00432E2B" w:rsidRDefault="00463D8C" w:rsidP="00432E2B">
      <w:pPr>
        <w:numPr>
          <w:ilvl w:val="0"/>
          <w:numId w:val="11"/>
        </w:numPr>
        <w:ind w:left="0" w:firstLine="567"/>
        <w:jc w:val="both"/>
        <w:rPr>
          <w:rFonts w:ascii="Times New Roman" w:hAnsi="Times New Roman"/>
          <w:sz w:val="24"/>
          <w:szCs w:val="24"/>
        </w:rPr>
      </w:pPr>
      <w:r w:rsidRPr="00432E2B">
        <w:rPr>
          <w:rFonts w:ascii="Times New Roman" w:hAnsi="Times New Roman"/>
          <w:sz w:val="24"/>
          <w:szCs w:val="24"/>
        </w:rPr>
        <w:t>хозяйственные площадки.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3.1.3. Минимальные расчетные размеры функциональных элементов жилых территорий устанавливаются согласно СП. Показатели применяются зонам застройки многоэтажными, средне- и малоэтажными жилыми домами и не применяются к зонам застройки индивидуальными (в том числе блокированными) жилыми домами.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3.1.4. Расчетные показатели жилищной обеспеченности в сельской малоэтажной, в том числе индивидуальной, застройке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3.1.5.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3.1.6. Предельные размеры земельных участков для индивидуального жилищного строительства и личного подсобного хозяйства в поселении устанавливаются Правилами землепользования и застройки</w:t>
      </w:r>
      <w:r w:rsidR="009C4ECE" w:rsidRPr="00432E2B">
        <w:rPr>
          <w:rFonts w:ascii="Times New Roman" w:hAnsi="Times New Roman"/>
          <w:sz w:val="24"/>
          <w:szCs w:val="24"/>
        </w:rPr>
        <w:t xml:space="preserve"> </w:t>
      </w:r>
      <w:r w:rsidR="00AB60FC">
        <w:rPr>
          <w:rFonts w:ascii="Times New Roman" w:hAnsi="Times New Roman"/>
          <w:sz w:val="24"/>
          <w:szCs w:val="24"/>
        </w:rPr>
        <w:t>Рудневоробьевского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3.1.7. 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3.1.8. В жилых зданиях не допускается размещать:</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по продаже ковровых изделий, автозапчастей, шин и автомобильных масел;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объекты с режимом функционирования после 23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мастерские ремонта бытовых машин и приборов,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склады оптовой (или мелкооптовой) торговли; </w:t>
      </w:r>
    </w:p>
    <w:p w:rsidR="00463D8C" w:rsidRDefault="00463D8C" w:rsidP="00253D06">
      <w:pPr>
        <w:numPr>
          <w:ilvl w:val="0"/>
          <w:numId w:val="12"/>
        </w:numPr>
        <w:ind w:left="0" w:firstLine="426"/>
        <w:jc w:val="both"/>
        <w:rPr>
          <w:rFonts w:ascii="Times New Roman" w:hAnsi="Times New Roman"/>
          <w:sz w:val="24"/>
          <w:szCs w:val="24"/>
        </w:rPr>
      </w:pPr>
      <w:r w:rsidRPr="00432E2B">
        <w:rPr>
          <w:rFonts w:ascii="Times New Roman" w:hAnsi="Times New Roman"/>
          <w:sz w:val="24"/>
          <w:szCs w:val="24"/>
        </w:rPr>
        <w:t>производственные помещения (кроме мастерских реставрационных и народных промыслов, мастерских сборочных, монтажных и декоративных работ);</w:t>
      </w:r>
    </w:p>
    <w:p w:rsidR="00226F1C" w:rsidRPr="00432E2B" w:rsidRDefault="00226F1C" w:rsidP="00226F1C">
      <w:pPr>
        <w:ind w:left="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3.2. Элементы планировочной структуры и градостроительные характеристики территории индивидуальной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w:t>
      </w:r>
      <w:r w:rsidRPr="00432E2B">
        <w:rPr>
          <w:sz w:val="24"/>
          <w:szCs w:val="24"/>
        </w:rPr>
        <w:t xml:space="preserve"> </w:t>
      </w:r>
      <w:r w:rsidRPr="00432E2B">
        <w:rPr>
          <w:rFonts w:ascii="Times New Roman" w:hAnsi="Times New Roman"/>
          <w:sz w:val="24"/>
          <w:szCs w:val="24"/>
        </w:rPr>
        <w:t>На территориях индивидуальной застройки могут предусматриваться хозяйственные подъезды и скотопрогоны. На приусадебных и приквартирных земельных участках предусматриваются хозяйственные постройки для содержания скота и птицы, хранения кормов, инвентаря и других хозяйственных нужд, бани.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3.2.2.</w:t>
      </w:r>
      <w:r w:rsidRPr="00432E2B">
        <w:rPr>
          <w:sz w:val="24"/>
          <w:szCs w:val="24"/>
        </w:rPr>
        <w:t xml:space="preserve"> </w:t>
      </w:r>
      <w:r w:rsidRPr="00432E2B">
        <w:rPr>
          <w:rFonts w:ascii="Times New Roman" w:hAnsi="Times New Roman"/>
          <w:sz w:val="24"/>
          <w:szCs w:val="24"/>
        </w:rPr>
        <w:t xml:space="preserve">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3.2.3.</w:t>
      </w:r>
      <w:r w:rsidRPr="00432E2B">
        <w:rPr>
          <w:sz w:val="24"/>
          <w:szCs w:val="24"/>
        </w:rPr>
        <w:t xml:space="preserve"> </w:t>
      </w:r>
      <w:r w:rsidRPr="00432E2B">
        <w:rPr>
          <w:rFonts w:ascii="Times New Roman" w:hAnsi="Times New Roman"/>
          <w:sz w:val="24"/>
          <w:szCs w:val="24"/>
        </w:rPr>
        <w:t xml:space="preserve">При проектировании планировки и застройки территории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3.2.4.</w:t>
      </w:r>
      <w:r w:rsidRPr="00432E2B">
        <w:rPr>
          <w:sz w:val="24"/>
          <w:szCs w:val="24"/>
        </w:rPr>
        <w:t xml:space="preserve"> </w:t>
      </w:r>
      <w:r w:rsidRPr="00432E2B">
        <w:rPr>
          <w:rFonts w:ascii="Times New Roman" w:hAnsi="Times New Roman"/>
          <w:sz w:val="24"/>
          <w:szCs w:val="24"/>
        </w:rPr>
        <w:t xml:space="preserve">Одно -, двухквартирные жилые дома должны отстоять от красной линии улиц не менее чем на 5 м, от красной линии проездов - не менее чем на 3 м. В отдельных случаях допускается размещение жилых домов по красной линии улиц в условиях сложившейся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3.2.5.</w:t>
      </w:r>
      <w:r w:rsidRPr="00432E2B">
        <w:rPr>
          <w:sz w:val="24"/>
          <w:szCs w:val="24"/>
        </w:rPr>
        <w:t xml:space="preserve"> </w:t>
      </w:r>
      <w:r w:rsidRPr="00432E2B">
        <w:rPr>
          <w:rFonts w:ascii="Times New Roman" w:hAnsi="Times New Roman"/>
          <w:sz w:val="24"/>
          <w:szCs w:val="24"/>
        </w:rPr>
        <w:t xml:space="preserve">Отдельно стоящие, встроенные хозяйственные постройки должны быть удалены от красных линий улиц и проездов не менее чем на 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3.2.6.</w:t>
      </w:r>
      <w:r w:rsidRPr="00432E2B">
        <w:rPr>
          <w:sz w:val="24"/>
          <w:szCs w:val="24"/>
        </w:rPr>
        <w:t xml:space="preserve"> </w:t>
      </w:r>
      <w:r w:rsidRPr="00432E2B">
        <w:rPr>
          <w:rFonts w:ascii="Times New Roman" w:hAnsi="Times New Roman"/>
          <w:sz w:val="24"/>
          <w:szCs w:val="24"/>
        </w:rPr>
        <w:t>Минимальные расстояния между жилыми домами, а также между крайними строениями и группами строений на приусадебных участках принимаются в соответствии с зооветеринарными, санитарно-гигиеническими требованиями и в соответствии с разделом «Пожарная безопасность» настоящих нормативов.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3.2.7.</w:t>
      </w:r>
      <w:r w:rsidRPr="00432E2B">
        <w:rPr>
          <w:sz w:val="24"/>
          <w:szCs w:val="24"/>
        </w:rPr>
        <w:t xml:space="preserve"> </w:t>
      </w:r>
      <w:r w:rsidRPr="00432E2B">
        <w:rPr>
          <w:rFonts w:ascii="Times New Roman" w:hAnsi="Times New Roman"/>
          <w:sz w:val="24"/>
          <w:szCs w:val="24"/>
        </w:rPr>
        <w:t>До границы соседнего приусадебного или приквартирного участка расстояния по санитарно-бытовым условиям (при соблюдении требований раздела «Пожарная безопасность») должны быть не менее:</w:t>
      </w:r>
    </w:p>
    <w:p w:rsidR="009C4ECE"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усадебного, двухквартирного блокированного дома - не менее 3 м; </w:t>
      </w:r>
    </w:p>
    <w:p w:rsidR="00463D8C"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постройки для содержания скота и птицы - не менее 4 м; </w:t>
      </w:r>
    </w:p>
    <w:p w:rsidR="00463D8C" w:rsidRPr="00432E2B" w:rsidRDefault="00463D8C" w:rsidP="00253D06">
      <w:pPr>
        <w:numPr>
          <w:ilvl w:val="0"/>
          <w:numId w:val="13"/>
        </w:numPr>
        <w:ind w:left="0" w:firstLine="284"/>
        <w:jc w:val="both"/>
        <w:rPr>
          <w:rFonts w:ascii="Times New Roman" w:hAnsi="Times New Roman"/>
          <w:sz w:val="24"/>
          <w:szCs w:val="24"/>
        </w:rPr>
      </w:pPr>
      <w:r w:rsidRPr="00432E2B">
        <w:rPr>
          <w:rFonts w:ascii="Times New Roman" w:hAnsi="Times New Roman"/>
          <w:sz w:val="24"/>
          <w:szCs w:val="24"/>
        </w:rPr>
        <w:t xml:space="preserve">от других построек (баня, гараж и др.) - не менее 1 м. </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3.2.8.</w:t>
      </w:r>
      <w:r w:rsidRPr="00432E2B">
        <w:rPr>
          <w:sz w:val="24"/>
          <w:szCs w:val="24"/>
        </w:rPr>
        <w:t xml:space="preserve"> </w:t>
      </w:r>
      <w:r w:rsidRPr="00432E2B">
        <w:rPr>
          <w:rFonts w:ascii="Times New Roman" w:hAnsi="Times New Roman"/>
          <w:sz w:val="24"/>
          <w:szCs w:val="24"/>
        </w:rPr>
        <w:t>Расстояние от окон жилых комнат до стен соседнего дома и хозяйственных построек (сарая для хранения кормов, инвентаря, топлива, гаража, бани), расположенных на соседних земельных участках, должно быть не менее 6 м. Не допускается размещать вспомогательные строения со стороны улиц.</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C4ECE"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3.2.9.</w:t>
      </w:r>
      <w:r w:rsidRPr="00432E2B">
        <w:rPr>
          <w:sz w:val="24"/>
          <w:szCs w:val="24"/>
        </w:rPr>
        <w:t xml:space="preserve"> </w:t>
      </w:r>
      <w:r w:rsidRPr="00432E2B">
        <w:rPr>
          <w:rFonts w:ascii="Times New Roman" w:hAnsi="Times New Roman"/>
          <w:sz w:val="24"/>
          <w:szCs w:val="24"/>
        </w:rPr>
        <w:t>От зеленых насаждений до границы соседнего приусадебного или приквартирного участка расстояния должны быть не менее:</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высокорослых деревьев - не менее 4 м;</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среднеро</w:t>
      </w:r>
      <w:r w:rsidR="009C4ECE" w:rsidRPr="00432E2B">
        <w:rPr>
          <w:rFonts w:ascii="Times New Roman" w:hAnsi="Times New Roman"/>
          <w:sz w:val="24"/>
          <w:szCs w:val="24"/>
        </w:rPr>
        <w:t>слых деревьев - не менее 2 м;</w:t>
      </w:r>
    </w:p>
    <w:p w:rsidR="00463D8C" w:rsidRPr="00432E2B" w:rsidRDefault="00463D8C" w:rsidP="00253D06">
      <w:pPr>
        <w:numPr>
          <w:ilvl w:val="0"/>
          <w:numId w:val="14"/>
        </w:numPr>
        <w:ind w:left="0" w:firstLine="284"/>
        <w:jc w:val="both"/>
        <w:rPr>
          <w:rFonts w:ascii="Times New Roman" w:hAnsi="Times New Roman"/>
          <w:sz w:val="24"/>
          <w:szCs w:val="24"/>
        </w:rPr>
      </w:pPr>
      <w:r w:rsidRPr="00432E2B">
        <w:rPr>
          <w:rFonts w:ascii="Times New Roman" w:hAnsi="Times New Roman"/>
          <w:sz w:val="24"/>
          <w:szCs w:val="24"/>
        </w:rPr>
        <w:t>от кустарника - не менее 1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3.2.10.</w:t>
      </w:r>
      <w:r w:rsidRPr="00432E2B">
        <w:rPr>
          <w:sz w:val="24"/>
          <w:szCs w:val="24"/>
        </w:rPr>
        <w:t xml:space="preserve"> </w:t>
      </w:r>
      <w:r w:rsidRPr="00432E2B">
        <w:rPr>
          <w:rFonts w:ascii="Times New Roman" w:hAnsi="Times New Roman"/>
          <w:sz w:val="24"/>
          <w:szCs w:val="24"/>
        </w:rPr>
        <w:t>Ограждение земельных участков должно быть:</w:t>
      </w:r>
    </w:p>
    <w:p w:rsidR="00463D8C" w:rsidRPr="00432E2B" w:rsidRDefault="00463D8C" w:rsidP="00253D06">
      <w:pPr>
        <w:numPr>
          <w:ilvl w:val="0"/>
          <w:numId w:val="15"/>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со стороны улицы: единообразным (на протяжении не менее одного квартала с обеих сторон улицы) и иметь высоту не более 2 м. Ограждения перед домом в пределах отступа от красной линии должно быть прозрачным и высотой не более 1,5 м: </w:t>
      </w:r>
    </w:p>
    <w:p w:rsidR="00463D8C" w:rsidRPr="00432E2B" w:rsidRDefault="00463D8C" w:rsidP="00253D06">
      <w:pPr>
        <w:numPr>
          <w:ilvl w:val="0"/>
          <w:numId w:val="15"/>
        </w:numPr>
        <w:ind w:left="0" w:firstLine="284"/>
        <w:jc w:val="both"/>
        <w:rPr>
          <w:rFonts w:ascii="Times New Roman" w:hAnsi="Times New Roman"/>
          <w:sz w:val="24"/>
          <w:szCs w:val="24"/>
        </w:rPr>
      </w:pPr>
      <w:r w:rsidRPr="00432E2B">
        <w:rPr>
          <w:rFonts w:ascii="Times New Roman" w:hAnsi="Times New Roman"/>
          <w:sz w:val="24"/>
          <w:szCs w:val="24"/>
        </w:rPr>
        <w:t xml:space="preserve">со стороны соседних земельных участков: неглухим (решетчатым, сетчатым, штакетным и т.п высотой не более 1,5 м, или глухим, высотой не более 1,2м.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В отдельных случаях, по взаимному согласию владельцев смежных участков для исключения просматриваемое из окон соседнего дома допускается устройство глухого ограждения высотой до 2-х метров в пределах длины жилого дома по боковой границе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3.2.11.</w:t>
      </w:r>
      <w:r w:rsidRPr="00432E2B">
        <w:rPr>
          <w:sz w:val="24"/>
          <w:szCs w:val="24"/>
        </w:rPr>
        <w:t xml:space="preserve"> </w:t>
      </w:r>
      <w:r w:rsidRPr="00432E2B">
        <w:rPr>
          <w:rFonts w:ascii="Times New Roman" w:hAnsi="Times New Roman"/>
          <w:sz w:val="24"/>
          <w:szCs w:val="24"/>
        </w:rPr>
        <w:t xml:space="preserve">Строительство ограждения между участками может осуществляться владельцами как одного из участков, так и обоих участков. При недостижении согласия в </w:t>
      </w:r>
      <w:r w:rsidRPr="00432E2B">
        <w:rPr>
          <w:rFonts w:ascii="Times New Roman" w:hAnsi="Times New Roman"/>
          <w:sz w:val="24"/>
          <w:szCs w:val="24"/>
        </w:rPr>
        <w:lastRenderedPageBreak/>
        <w:t>том, кто должен строить ограждение, его строительство осуществляется в равных частях обоими владельцами соседних участков.</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3.3.Элементы планировочной структуры и градостроительные характеристики территории застройки многоквартирными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3.3.1. При проектировании планировки и застройки территории малоэтажного жилищного строительства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Состав функциональных элементов земельных участков, подлежащих застройке многоквартирными жилыми домами, включает в себя:</w:t>
      </w:r>
    </w:p>
    <w:p w:rsidR="009C4ECE" w:rsidRPr="00432E2B" w:rsidRDefault="009C4ECE"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жилые дома;</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к жилым домам;</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придомовые зеленые насаждения;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детские игровые площадки;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спортивные площадки; </w:t>
      </w:r>
    </w:p>
    <w:p w:rsidR="00463D8C" w:rsidRPr="00432E2B" w:rsidRDefault="00463D8C" w:rsidP="00253D06">
      <w:pPr>
        <w:numPr>
          <w:ilvl w:val="0"/>
          <w:numId w:val="16"/>
        </w:numPr>
        <w:ind w:left="0" w:firstLine="284"/>
        <w:jc w:val="both"/>
        <w:rPr>
          <w:rFonts w:ascii="Times New Roman" w:hAnsi="Times New Roman"/>
          <w:sz w:val="24"/>
          <w:szCs w:val="24"/>
        </w:rPr>
      </w:pPr>
      <w:r w:rsidRPr="00432E2B">
        <w:rPr>
          <w:rFonts w:ascii="Times New Roman" w:hAnsi="Times New Roman"/>
          <w:sz w:val="24"/>
          <w:szCs w:val="24"/>
        </w:rPr>
        <w:t xml:space="preserve">хозяйственные площадки. </w:t>
      </w:r>
    </w:p>
    <w:p w:rsidR="00432E2B"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3.3.2. Жилые дома на территории малоэтажной застройки располагаются с отступом от красных линий. Жилые дома с квартирами в первых этажах следует располагать с отступом от красных линий на магистральных у</w:t>
      </w:r>
      <w:r w:rsidR="009C4ECE" w:rsidRPr="00432E2B">
        <w:rPr>
          <w:rFonts w:ascii="Times New Roman" w:hAnsi="Times New Roman"/>
          <w:sz w:val="24"/>
          <w:szCs w:val="24"/>
        </w:rPr>
        <w:t xml:space="preserve">лицах не менее 6 м, на прочих - </w:t>
      </w:r>
      <w:r w:rsidRPr="00432E2B">
        <w:rPr>
          <w:rFonts w:ascii="Times New Roman" w:hAnsi="Times New Roman"/>
          <w:sz w:val="24"/>
          <w:szCs w:val="24"/>
        </w:rPr>
        <w:t xml:space="preserve">3м.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реконструкций сложившейся застройки - жилые здания с квартирами в первых этажах.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3.3.3. Расстояния между крайними строениями и группами строений следует принимать на основе расчетов инсоляции и освещенности, учета противопожарных и зооветеринарных требований. При этом расстояния между длинными сторонами секционных жилых зданий высотой 2-3 этажа должны быть не менее 15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3.3.4. Максимально допустимое расстояние от окон жилых и общественных зданий до площадок следует принимать: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для игр детей дошкольного и младшего возраста - 12м;</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отдыха взрослых - 10м;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занятий спортом и физической культурой - от 10м до 40 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хозяйственных целей -1 2 м; </w:t>
      </w:r>
    </w:p>
    <w:p w:rsidR="00463D8C" w:rsidRPr="00432E2B" w:rsidRDefault="00463D8C" w:rsidP="00253D06">
      <w:pPr>
        <w:numPr>
          <w:ilvl w:val="0"/>
          <w:numId w:val="17"/>
        </w:numPr>
        <w:ind w:left="0" w:firstLine="284"/>
        <w:jc w:val="both"/>
        <w:rPr>
          <w:rFonts w:ascii="Times New Roman" w:hAnsi="Times New Roman"/>
          <w:sz w:val="24"/>
          <w:szCs w:val="24"/>
        </w:rPr>
      </w:pPr>
      <w:r w:rsidRPr="00432E2B">
        <w:rPr>
          <w:rFonts w:ascii="Times New Roman" w:hAnsi="Times New Roman"/>
          <w:sz w:val="24"/>
          <w:szCs w:val="24"/>
        </w:rPr>
        <w:t xml:space="preserve">для стоянки автомашин - от 10м до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3.3.5. Расстояние от хозяйственных площадок до наиболее удаленного входа в жилое здание должно составлять не более 50м.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3.3.6.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w:t>
      </w:r>
      <w:r w:rsidRPr="00432E2B">
        <w:rPr>
          <w:rFonts w:ascii="Times New Roman" w:hAnsi="Times New Roman"/>
          <w:sz w:val="24"/>
          <w:szCs w:val="24"/>
        </w:rPr>
        <w:lastRenderedPageBreak/>
        <w:t xml:space="preserve">которых определяется градостроительным планом земельных участков или заданием на проектирование.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3.3.7.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w:t>
      </w:r>
    </w:p>
    <w:p w:rsidR="009C4ECE"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одиночные или двойные - не менее 15 м; </w:t>
      </w:r>
    </w:p>
    <w:p w:rsidR="00463D8C"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до 8 блоков - не менее 25 м;</w:t>
      </w:r>
    </w:p>
    <w:p w:rsidR="00463D8C" w:rsidRPr="00432E2B" w:rsidRDefault="00463D8C" w:rsidP="00253D06">
      <w:pPr>
        <w:numPr>
          <w:ilvl w:val="0"/>
          <w:numId w:val="18"/>
        </w:numPr>
        <w:ind w:left="0" w:firstLine="284"/>
        <w:jc w:val="both"/>
        <w:rPr>
          <w:rFonts w:ascii="Times New Roman" w:hAnsi="Times New Roman"/>
          <w:sz w:val="24"/>
          <w:szCs w:val="24"/>
        </w:rPr>
      </w:pPr>
      <w:r w:rsidRPr="00432E2B">
        <w:rPr>
          <w:rFonts w:ascii="Times New Roman" w:hAnsi="Times New Roman"/>
          <w:sz w:val="24"/>
          <w:szCs w:val="24"/>
        </w:rPr>
        <w:t xml:space="preserve">свыше 8 до 30 блоков - не менее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Площадь застройки сблокированных сараев не должна превышать 800 м. Расстояния между группами сараев следует принимать в соответствии с требованиями раздела «Пожарная безопасность» настоящих нормативов. Расстояние от сараев для скота и птицы до шахтных колодцев должно быть не менее 50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3.3.8.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w:t>
      </w:r>
      <w:r w:rsidR="00226F1C">
        <w:rPr>
          <w:rFonts w:ascii="Times New Roman" w:hAnsi="Times New Roman"/>
          <w:sz w:val="24"/>
          <w:szCs w:val="24"/>
        </w:rPr>
        <w:t>й и других транспортных средств.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3.4. Общественно-деловые зоны. </w:t>
      </w:r>
    </w:p>
    <w:p w:rsidR="00253D06"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3.4.1. Общественно-деловые зоны предназначены для размещения учреждений и предприятий социальной инфраструктуры, культовых зданий, стоянок автомобильного транспорта, иных объектов, связанных с обеспечением жизнедеятельности граждан.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учреждения и предприятия связи, административные организации и другие (далее - учреждения и предприятия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3.4.2. Планировка и застройка общественно-деловых зон зданиями различного функционального назначения производится с учетом требований настоящего раздела.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исходя из функционального назначения объекта в соответствии со СП 42.13330.2011 «Градостроительство. Планировка и застройка городских и сельских поселений».</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3.4.4. В поселении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3.4.5.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w:t>
      </w:r>
      <w:r w:rsidRPr="00432E2B">
        <w:rPr>
          <w:rFonts w:ascii="Times New Roman" w:hAnsi="Times New Roman"/>
          <w:sz w:val="24"/>
          <w:szCs w:val="24"/>
        </w:rPr>
        <w:lastRenderedPageBreak/>
        <w:t xml:space="preserve">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3.4.6. Радиусы обслуживания в сельских поселениях принимаются: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а) дошкольных образовательных учреждений - не более 500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общеобразовательных учреждений: </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 xml:space="preserve">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 в) предприятий торговли и бытового обслуживания, отделений связи - не более 2000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 поликлиник, амбулаторий, фельдшерско-акушерских пунктов и аптек - не более 30 мин пешеходно -транспортной доступности.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3.4.7. Дошкольные образовательные и общеобразовательные учреждения, размещаемые в отдельных зданиях, должны быть расположены на участках с отступом зданий от красных линий не менее чем на 25 м., в реконструируемых кварталах - не менее чем на 15 м. Участки дошкольных образовательных учреждений не должны примыкать непосредственно к магистральным улицам.</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3.4.8.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3.5. Зоны сельскохозяйственного использования.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3.5.1. В состав зон сельскохозяйственного использования могут включаться: - зоны сельскохозяйственных угодий -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3.5.2. Зоны сельскохозяйственных угодий - это, как правило, земли за чертой населенных пунктов, предоставленные для нужд сельского хозяйства, а также предназначенные для ведения сельского хозяйства.</w:t>
      </w:r>
    </w:p>
    <w:p w:rsidR="00226F1C" w:rsidRPr="00432E2B" w:rsidRDefault="00226F1C" w:rsidP="00226F1C">
      <w:pPr>
        <w:spacing w:after="0"/>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3.6. Зоны, предназначенные для ведения личного подсобного хозяйства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3.6.1.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w:t>
      </w:r>
      <w:r w:rsidRPr="00432E2B">
        <w:rPr>
          <w:rFonts w:ascii="Times New Roman" w:hAnsi="Times New Roman"/>
          <w:sz w:val="24"/>
          <w:szCs w:val="24"/>
        </w:rPr>
        <w:lastRenderedPageBreak/>
        <w:t xml:space="preserve">чертой поселений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 местного самоуправления.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«Планировка и застройка жилых территориальных зон» настоящих нормативов. </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3.7. Зоны, предназначенные для ведения садоводческого (дачного) хозяйства.</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3.7.1. Организация зоны (территории) садоводческого (дачного) объединения осуществляется в соответствии проектом планировки территории садоводческого (дачного) объединения, утвержденным органом местного самоуправления.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3.7.2. Запрещается размещение территорий садоводческих (дачных) объединений в санитарно-защитных зонах промышленных и сельскохозяйственных предприятий.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3.7.3.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3.7.4. Территория садоводческого (дачного) объединения должна быть соединена подъездной дорогой с автомобильной дорогой общего пользования.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3.7.5.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3.8. Зоны специального назначения</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3.8.1. В состав зон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3.8.2. 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3.8.3. Участок, отводимый под кладбище, должен удовлетворять следующим требованиям: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иметь уклон в сторону, противоположную населенному пункту, открытым водоемам и водозаборным сооружениям для питьевых и хозяйственных нужд населения; - не затопляться при паводках;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уровень стояния грунтовых вод не менее 2,5 м от поверхности земли при максимальном стоянии грунтовых вод;</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11CC" w:rsidRPr="00432E2B" w:rsidRDefault="00463D8C" w:rsidP="00432E2B">
      <w:pPr>
        <w:numPr>
          <w:ilvl w:val="0"/>
          <w:numId w:val="19"/>
        </w:numPr>
        <w:ind w:left="0" w:firstLine="567"/>
        <w:jc w:val="both"/>
        <w:rPr>
          <w:rFonts w:ascii="Times New Roman" w:hAnsi="Times New Roman"/>
          <w:sz w:val="24"/>
          <w:szCs w:val="24"/>
        </w:rPr>
      </w:pPr>
      <w:r w:rsidRPr="00432E2B">
        <w:rPr>
          <w:rFonts w:ascii="Times New Roman" w:hAnsi="Times New Roman"/>
          <w:sz w:val="24"/>
          <w:szCs w:val="24"/>
        </w:rPr>
        <w:t>располагаться с подветренной стороны по отношению к жилой территории.</w:t>
      </w:r>
    </w:p>
    <w:p w:rsidR="00463D8C" w:rsidRPr="00432E2B" w:rsidRDefault="00463D8C" w:rsidP="00432E2B">
      <w:pPr>
        <w:spacing w:after="0"/>
        <w:ind w:firstLine="567"/>
        <w:jc w:val="both"/>
        <w:rPr>
          <w:rFonts w:ascii="Times New Roman" w:hAnsi="Times New Roman"/>
          <w:sz w:val="24"/>
          <w:szCs w:val="24"/>
        </w:rPr>
      </w:pPr>
      <w:r w:rsidRPr="00432E2B">
        <w:rPr>
          <w:rFonts w:ascii="Times New Roman" w:hAnsi="Times New Roman"/>
          <w:sz w:val="24"/>
          <w:szCs w:val="24"/>
        </w:rPr>
        <w:t xml:space="preserve"> 3.8.4. Кладбища размещают на расстоянии: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а) от жилых, общественных зданий, спортивно-оздоровительных и санаторно-курортных зон: </w:t>
      </w:r>
    </w:p>
    <w:p w:rsidR="00913373" w:rsidRPr="00432E2B" w:rsidRDefault="00463D8C" w:rsidP="00432E2B">
      <w:pPr>
        <w:numPr>
          <w:ilvl w:val="0"/>
          <w:numId w:val="23"/>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300 м - при площади кладбища до 20 га; </w:t>
      </w:r>
    </w:p>
    <w:p w:rsidR="00463D8C" w:rsidRPr="00432E2B" w:rsidRDefault="00463D8C" w:rsidP="00432E2B">
      <w:pPr>
        <w:numPr>
          <w:ilvl w:val="0"/>
          <w:numId w:val="23"/>
        </w:numPr>
        <w:ind w:left="0" w:firstLine="567"/>
        <w:jc w:val="both"/>
        <w:rPr>
          <w:rFonts w:ascii="Times New Roman" w:hAnsi="Times New Roman"/>
          <w:sz w:val="24"/>
          <w:szCs w:val="24"/>
        </w:rPr>
      </w:pPr>
      <w:r w:rsidRPr="00432E2B">
        <w:rPr>
          <w:rFonts w:ascii="Times New Roman" w:hAnsi="Times New Roman"/>
          <w:sz w:val="24"/>
          <w:szCs w:val="24"/>
        </w:rPr>
        <w:t>50м- для сельских, закрытых кладбищ и мемориальных комплексов;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3.8.5. После закрытия кладбища по истечении 25 лет после последнего захоронения расстояние до жилой застройки может быть сокращено до 100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3.8.6. В поселении при реконструкции населенных пунктов, расстояние от кладбищ до стен жилых домов, зданий детских и лечебных учреждений допускается уменьшать по согласованию с местными органами Государственного санитарноэпидемиологического надзора, но принимать не менее 100 м. </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4. Охрана окружающей среды</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4.1. Общие требования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4.1.1. При планировке и застройке населенных пунктов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4.1.2.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Брянской области об охране окружающей среды и природопользовании и другими нормативными правовыми актами.</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5.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5.1.1. Мероприятия по гражданской обороне разрабатываются органами местного самоуправления в соответствии с требованиями Федерального закона «О гражданской обороне».</w:t>
      </w:r>
    </w:p>
    <w:p w:rsidR="00432E2B" w:rsidRPr="00432E2B" w:rsidRDefault="00463D8C" w:rsidP="00AB60FC">
      <w:pPr>
        <w:ind w:firstLine="567"/>
        <w:jc w:val="both"/>
        <w:rPr>
          <w:rFonts w:ascii="Times New Roman" w:hAnsi="Times New Roman"/>
          <w:sz w:val="24"/>
          <w:szCs w:val="24"/>
        </w:rPr>
      </w:pPr>
      <w:r w:rsidRPr="00432E2B">
        <w:rPr>
          <w:rFonts w:ascii="Times New Roman" w:hAnsi="Times New Roman"/>
          <w:sz w:val="24"/>
          <w:szCs w:val="24"/>
        </w:rPr>
        <w:t>5.1.2.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5.2. Пожарная безопасность.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5.2.1.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СП 112.13330.2011</w:t>
      </w:r>
      <w:r w:rsidRPr="00432E2B">
        <w:rPr>
          <w:rFonts w:ascii="Arial" w:hAnsi="Arial" w:cs="Arial"/>
          <w:color w:val="2D2D2D"/>
          <w:spacing w:val="2"/>
          <w:sz w:val="24"/>
          <w:szCs w:val="24"/>
          <w:shd w:val="clear" w:color="auto" w:fill="FFFFFF"/>
        </w:rPr>
        <w:t xml:space="preserve"> </w:t>
      </w:r>
      <w:r w:rsidRPr="00432E2B">
        <w:rPr>
          <w:rFonts w:ascii="Times New Roman" w:hAnsi="Times New Roman"/>
          <w:sz w:val="24"/>
          <w:szCs w:val="24"/>
        </w:rPr>
        <w:t xml:space="preserve">- для зданий и сооружений различного назначения на всех этапах их создания и эксплуатации;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СНиП 21-01-97 - для зданий и сооружений различного назначения на этапе проектирования для определения требуемых противопожарных разрывов. 5.1.2.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2"/>
        <w:gridCol w:w="2336"/>
        <w:gridCol w:w="2337"/>
      </w:tblGrid>
      <w:tr w:rsidR="00463D8C" w:rsidRPr="00432E2B" w:rsidTr="00525C0B">
        <w:tc>
          <w:tcPr>
            <w:tcW w:w="2830" w:type="dxa"/>
            <w:vMerge w:val="restart"/>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Степень огнестойкости здания</w:t>
            </w:r>
          </w:p>
        </w:tc>
        <w:tc>
          <w:tcPr>
            <w:tcW w:w="6515" w:type="dxa"/>
            <w:gridSpan w:val="3"/>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Расстояние при степени огнестойкости здания, м</w:t>
            </w:r>
          </w:p>
        </w:tc>
      </w:tr>
      <w:tr w:rsidR="00463D8C" w:rsidRPr="00432E2B" w:rsidTr="00525C0B">
        <w:tc>
          <w:tcPr>
            <w:tcW w:w="2830" w:type="dxa"/>
            <w:vMerge/>
          </w:tcPr>
          <w:p w:rsidR="00463D8C" w:rsidRPr="00432E2B" w:rsidRDefault="00463D8C" w:rsidP="00432E2B">
            <w:pPr>
              <w:spacing w:after="0" w:line="240" w:lineRule="auto"/>
              <w:ind w:firstLine="567"/>
              <w:jc w:val="both"/>
              <w:rPr>
                <w:rFonts w:ascii="Times New Roman" w:hAnsi="Times New Roman"/>
                <w:b/>
                <w:sz w:val="24"/>
                <w:szCs w:val="24"/>
              </w:rPr>
            </w:pPr>
          </w:p>
        </w:tc>
        <w:tc>
          <w:tcPr>
            <w:tcW w:w="1842" w:type="dxa"/>
          </w:tcPr>
          <w:p w:rsidR="00463D8C" w:rsidRPr="00432E2B" w:rsidRDefault="00463D8C" w:rsidP="00432E2B">
            <w:pPr>
              <w:spacing w:after="0" w:line="240" w:lineRule="auto"/>
              <w:ind w:firstLine="567"/>
              <w:jc w:val="both"/>
              <w:rPr>
                <w:rFonts w:ascii="Times New Roman" w:hAnsi="Times New Roman"/>
                <w:sz w:val="24"/>
                <w:szCs w:val="24"/>
                <w:lang w:val="en-US"/>
              </w:rPr>
            </w:pPr>
            <w:r w:rsidRPr="00432E2B">
              <w:rPr>
                <w:rFonts w:ascii="Times New Roman" w:hAnsi="Times New Roman"/>
                <w:sz w:val="24"/>
                <w:szCs w:val="24"/>
                <w:lang w:val="en-US"/>
              </w:rPr>
              <w:t>I, II</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 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6</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15</w:t>
            </w:r>
          </w:p>
        </w:tc>
      </w:tr>
    </w:tbl>
    <w:p w:rsidR="00463D8C" w:rsidRPr="00432E2B" w:rsidRDefault="00463D8C" w:rsidP="00432E2B">
      <w:pPr>
        <w:ind w:firstLine="567"/>
        <w:jc w:val="both"/>
        <w:rPr>
          <w:rFonts w:ascii="Times New Roman" w:hAnsi="Times New Roman"/>
          <w:i/>
          <w:sz w:val="24"/>
          <w:szCs w:val="24"/>
        </w:rPr>
      </w:pPr>
      <w:r w:rsidRPr="00432E2B">
        <w:rPr>
          <w:rFonts w:ascii="Times New Roman" w:hAnsi="Times New Roman"/>
          <w:i/>
          <w:sz w:val="24"/>
          <w:szCs w:val="24"/>
        </w:rPr>
        <w:t xml:space="preserve">Примечания: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 Классификацию зданий по степени огнестойкости следует принимать в соответствии с требованиями СНиП 21-01-97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1 м конструкций зданий или сооружений, выполненных из горючих материалов, принимается расстояние между этими конструкциями.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 Расстояние между стенами зданий без оконных проемов допускается уменьшать на 20 %, за исключением зданий </w:t>
      </w:r>
      <w:r w:rsidRPr="00432E2B">
        <w:rPr>
          <w:rFonts w:ascii="Times New Roman" w:hAnsi="Times New Roman"/>
          <w:sz w:val="24"/>
          <w:szCs w:val="24"/>
          <w:lang w:val="en-US"/>
        </w:rPr>
        <w:t>III</w:t>
      </w:r>
      <w:r w:rsidRPr="00432E2B">
        <w:rPr>
          <w:rFonts w:ascii="Times New Roman" w:hAnsi="Times New Roman"/>
          <w:sz w:val="24"/>
          <w:szCs w:val="24"/>
        </w:rPr>
        <w:t>а, IIIб, IV, 1Vа и V степеней огнестойкости.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20 %.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 Расстояния между зданиями I и II степеней огнестойкости допускается предусматривать менее 6 м при условии, если стена более высокого здания, расположенного напротив другого здания, является противопожарной.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28 застройки (этажа) одного здания той же степени огнестойкости без противопожарных стен согласно требованиям СНиП 21-01-97.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м2. Расстояния между группами сблокированных хозяйственных построек принимаются по настоящей таблице.</w:t>
      </w: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6. Обеспечение доступности объектов социальной инфраструктуры для инвалидов и маломобильных групп населения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6.1. При планировке и застройке городских округов и поселений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59.13330.2010, СП 35-101-2001, СП 35-102-2001, СП 31-102-99, СП 35-103-2001, ВСН 62-91*, РДС 35-201-99. 9.2.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 д.);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объекты и учреждения образования, здравоохранения и социальной защиты населения;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объекты торговли, общественного питания и бытового обслуживания населения, финансово-банковские учреждения;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объекты и сооружения транспортного обслуживания населения, связи и информации: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производственные объекты, объекты малого бизнеса и другие места приложения труда;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lastRenderedPageBreak/>
        <w:t>тротуары, переходы улиц, дорог и магистралей;</w:t>
      </w:r>
    </w:p>
    <w:p w:rsidR="00463D8C"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 прилегающие к вышеперечисленным зданиям и сооружениям территории и площади.</w:t>
      </w:r>
    </w:p>
    <w:sectPr w:rsidR="00463D8C" w:rsidRPr="00432E2B" w:rsidSect="00FC104F">
      <w:headerReference w:type="even" r:id="rId8"/>
      <w:headerReference w:type="default" r:id="rId9"/>
      <w:footerReference w:type="even" r:id="rId10"/>
      <w:footerReference w:type="default" r:id="rId11"/>
      <w:headerReference w:type="first" r:id="rId12"/>
      <w:footerReference w:type="first" r:id="rId13"/>
      <w:pgSz w:w="11906" w:h="16838"/>
      <w:pgMar w:top="0"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B2" w:rsidRDefault="008452B2" w:rsidP="00376807">
      <w:pPr>
        <w:spacing w:after="0" w:line="240" w:lineRule="auto"/>
      </w:pPr>
      <w:r>
        <w:separator/>
      </w:r>
    </w:p>
  </w:endnote>
  <w:endnote w:type="continuationSeparator" w:id="0">
    <w:p w:rsidR="008452B2" w:rsidRDefault="008452B2" w:rsidP="0037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Default="003768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Default="003768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Default="003768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B2" w:rsidRDefault="008452B2" w:rsidP="00376807">
      <w:pPr>
        <w:spacing w:after="0" w:line="240" w:lineRule="auto"/>
      </w:pPr>
      <w:r>
        <w:separator/>
      </w:r>
    </w:p>
  </w:footnote>
  <w:footnote w:type="continuationSeparator" w:id="0">
    <w:p w:rsidR="008452B2" w:rsidRDefault="008452B2" w:rsidP="00376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Default="003768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Pr="00376807" w:rsidRDefault="00376807" w:rsidP="00376807">
    <w:pPr>
      <w:pStyle w:val="a5"/>
      <w:jc w:val="right"/>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7" w:rsidRDefault="003768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27A"/>
    <w:multiLevelType w:val="hybridMultilevel"/>
    <w:tmpl w:val="474A46D0"/>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25062"/>
    <w:multiLevelType w:val="hybridMultilevel"/>
    <w:tmpl w:val="F52AE9B4"/>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C228B"/>
    <w:multiLevelType w:val="hybridMultilevel"/>
    <w:tmpl w:val="DCDA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5223"/>
    <w:multiLevelType w:val="hybridMultilevel"/>
    <w:tmpl w:val="972CED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C1282"/>
    <w:multiLevelType w:val="hybridMultilevel"/>
    <w:tmpl w:val="4DECEE3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97AA8"/>
    <w:multiLevelType w:val="hybridMultilevel"/>
    <w:tmpl w:val="AFACEC46"/>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411561"/>
    <w:multiLevelType w:val="hybridMultilevel"/>
    <w:tmpl w:val="986628E4"/>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809C6"/>
    <w:multiLevelType w:val="hybridMultilevel"/>
    <w:tmpl w:val="28D289EC"/>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42F36"/>
    <w:multiLevelType w:val="hybridMultilevel"/>
    <w:tmpl w:val="D2A0061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FA66AE"/>
    <w:multiLevelType w:val="hybridMultilevel"/>
    <w:tmpl w:val="B8FE7196"/>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033A5"/>
    <w:multiLevelType w:val="hybridMultilevel"/>
    <w:tmpl w:val="D792A90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A7670"/>
    <w:multiLevelType w:val="hybridMultilevel"/>
    <w:tmpl w:val="E16A43DE"/>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30A67"/>
    <w:multiLevelType w:val="hybridMultilevel"/>
    <w:tmpl w:val="9FFE39AA"/>
    <w:lvl w:ilvl="0" w:tplc="091CF7D8">
      <w:start w:val="1"/>
      <w:numFmt w:val="bullet"/>
      <w:lvlText w:val=""/>
      <w:lvlJc w:val="left"/>
      <w:pPr>
        <w:ind w:left="1070" w:hanging="360"/>
      </w:pPr>
      <w:rPr>
        <w:rFonts w:ascii="Symbol" w:hAnsi="Symbol" w:hint="default"/>
        <w:color w:val="000000"/>
        <w:sz w:val="28"/>
        <w:szCs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1B577AB"/>
    <w:multiLevelType w:val="hybridMultilevel"/>
    <w:tmpl w:val="4F64FDA8"/>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24386"/>
    <w:multiLevelType w:val="hybridMultilevel"/>
    <w:tmpl w:val="7632BDD0"/>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131908"/>
    <w:multiLevelType w:val="hybridMultilevel"/>
    <w:tmpl w:val="E5266B8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13C7D"/>
    <w:multiLevelType w:val="hybridMultilevel"/>
    <w:tmpl w:val="854E70A2"/>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2A73AA"/>
    <w:multiLevelType w:val="hybridMultilevel"/>
    <w:tmpl w:val="1FA6A5D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48289A"/>
    <w:multiLevelType w:val="hybridMultilevel"/>
    <w:tmpl w:val="86BEC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E027E7"/>
    <w:multiLevelType w:val="hybridMultilevel"/>
    <w:tmpl w:val="09A6937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371140"/>
    <w:multiLevelType w:val="hybridMultilevel"/>
    <w:tmpl w:val="022E137E"/>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063EE"/>
    <w:multiLevelType w:val="hybridMultilevel"/>
    <w:tmpl w:val="F9DAA476"/>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087DBA"/>
    <w:multiLevelType w:val="hybridMultilevel"/>
    <w:tmpl w:val="5E44B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C46F9B"/>
    <w:multiLevelType w:val="hybridMultilevel"/>
    <w:tmpl w:val="B32042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21"/>
  </w:num>
  <w:num w:numId="5">
    <w:abstractNumId w:val="19"/>
  </w:num>
  <w:num w:numId="6">
    <w:abstractNumId w:val="6"/>
  </w:num>
  <w:num w:numId="7">
    <w:abstractNumId w:val="23"/>
  </w:num>
  <w:num w:numId="8">
    <w:abstractNumId w:val="14"/>
  </w:num>
  <w:num w:numId="9">
    <w:abstractNumId w:val="7"/>
  </w:num>
  <w:num w:numId="10">
    <w:abstractNumId w:val="8"/>
  </w:num>
  <w:num w:numId="11">
    <w:abstractNumId w:val="17"/>
  </w:num>
  <w:num w:numId="12">
    <w:abstractNumId w:val="20"/>
  </w:num>
  <w:num w:numId="13">
    <w:abstractNumId w:val="16"/>
  </w:num>
  <w:num w:numId="14">
    <w:abstractNumId w:val="12"/>
  </w:num>
  <w:num w:numId="15">
    <w:abstractNumId w:val="13"/>
  </w:num>
  <w:num w:numId="16">
    <w:abstractNumId w:val="5"/>
  </w:num>
  <w:num w:numId="17">
    <w:abstractNumId w:val="9"/>
  </w:num>
  <w:num w:numId="18">
    <w:abstractNumId w:val="18"/>
  </w:num>
  <w:num w:numId="19">
    <w:abstractNumId w:val="22"/>
  </w:num>
  <w:num w:numId="20">
    <w:abstractNumId w:val="10"/>
  </w:num>
  <w:num w:numId="21">
    <w:abstractNumId w:val="1"/>
  </w:num>
  <w:num w:numId="22">
    <w:abstractNumId w:val="0"/>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73B"/>
    <w:rsid w:val="000F07AF"/>
    <w:rsid w:val="001D2160"/>
    <w:rsid w:val="00226F1C"/>
    <w:rsid w:val="00234064"/>
    <w:rsid w:val="00253D06"/>
    <w:rsid w:val="002E3F53"/>
    <w:rsid w:val="00322E23"/>
    <w:rsid w:val="00361E9D"/>
    <w:rsid w:val="00376807"/>
    <w:rsid w:val="00432E2B"/>
    <w:rsid w:val="0043685C"/>
    <w:rsid w:val="00463D8C"/>
    <w:rsid w:val="00495EB4"/>
    <w:rsid w:val="00496ABD"/>
    <w:rsid w:val="004F1242"/>
    <w:rsid w:val="00525C0B"/>
    <w:rsid w:val="005456D8"/>
    <w:rsid w:val="00560A09"/>
    <w:rsid w:val="006838B8"/>
    <w:rsid w:val="006B013C"/>
    <w:rsid w:val="006F01B4"/>
    <w:rsid w:val="00714DF3"/>
    <w:rsid w:val="007206FC"/>
    <w:rsid w:val="00720C11"/>
    <w:rsid w:val="007B2936"/>
    <w:rsid w:val="007C646E"/>
    <w:rsid w:val="007C68F5"/>
    <w:rsid w:val="008452B2"/>
    <w:rsid w:val="00850B0F"/>
    <w:rsid w:val="00864057"/>
    <w:rsid w:val="00870A83"/>
    <w:rsid w:val="00881E45"/>
    <w:rsid w:val="008E4D8D"/>
    <w:rsid w:val="00913373"/>
    <w:rsid w:val="0094565E"/>
    <w:rsid w:val="0099703C"/>
    <w:rsid w:val="009C073B"/>
    <w:rsid w:val="009C4ECE"/>
    <w:rsid w:val="009F3BA2"/>
    <w:rsid w:val="00A22FA7"/>
    <w:rsid w:val="00AB60FC"/>
    <w:rsid w:val="00B24724"/>
    <w:rsid w:val="00B85BD8"/>
    <w:rsid w:val="00BA6BDF"/>
    <w:rsid w:val="00C2769B"/>
    <w:rsid w:val="00CB4E51"/>
    <w:rsid w:val="00CE7599"/>
    <w:rsid w:val="00D14F21"/>
    <w:rsid w:val="00D62ECB"/>
    <w:rsid w:val="00E018D5"/>
    <w:rsid w:val="00E511CC"/>
    <w:rsid w:val="00F169AB"/>
    <w:rsid w:val="00F60E1F"/>
    <w:rsid w:val="00FB6460"/>
    <w:rsid w:val="00FC104F"/>
    <w:rsid w:val="00FD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F9635-EC19-4720-9D28-D9631E9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2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5EB4"/>
    <w:rPr>
      <w:rFonts w:cs="Times New Roman"/>
      <w:color w:val="0000FF"/>
      <w:u w:val="single"/>
    </w:rPr>
  </w:style>
  <w:style w:type="table" w:styleId="a4">
    <w:name w:val="Table Grid"/>
    <w:basedOn w:val="a1"/>
    <w:uiPriority w:val="99"/>
    <w:rsid w:val="0049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6807"/>
    <w:pPr>
      <w:tabs>
        <w:tab w:val="center" w:pos="4677"/>
        <w:tab w:val="right" w:pos="9355"/>
      </w:tabs>
    </w:pPr>
  </w:style>
  <w:style w:type="character" w:customStyle="1" w:styleId="a6">
    <w:name w:val="Верхний колонтитул Знак"/>
    <w:link w:val="a5"/>
    <w:uiPriority w:val="99"/>
    <w:rsid w:val="00376807"/>
    <w:rPr>
      <w:sz w:val="22"/>
      <w:szCs w:val="22"/>
      <w:lang w:eastAsia="en-US"/>
    </w:rPr>
  </w:style>
  <w:style w:type="paragraph" w:styleId="a7">
    <w:name w:val="footer"/>
    <w:basedOn w:val="a"/>
    <w:link w:val="a8"/>
    <w:uiPriority w:val="99"/>
    <w:unhideWhenUsed/>
    <w:rsid w:val="00376807"/>
    <w:pPr>
      <w:tabs>
        <w:tab w:val="center" w:pos="4677"/>
        <w:tab w:val="right" w:pos="9355"/>
      </w:tabs>
    </w:pPr>
  </w:style>
  <w:style w:type="character" w:customStyle="1" w:styleId="a8">
    <w:name w:val="Нижний колонтитул Знак"/>
    <w:link w:val="a7"/>
    <w:uiPriority w:val="99"/>
    <w:rsid w:val="003768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2394">
      <w:marLeft w:val="0"/>
      <w:marRight w:val="0"/>
      <w:marTop w:val="0"/>
      <w:marBottom w:val="0"/>
      <w:divBdr>
        <w:top w:val="none" w:sz="0" w:space="0" w:color="auto"/>
        <w:left w:val="none" w:sz="0" w:space="0" w:color="auto"/>
        <w:bottom w:val="none" w:sz="0" w:space="0" w:color="auto"/>
        <w:right w:val="none" w:sz="0" w:space="0" w:color="auto"/>
      </w:divBdr>
    </w:div>
    <w:div w:id="758212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4843</Words>
  <Characters>27607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Местные нормативы</vt:lpstr>
    </vt:vector>
  </TitlesOfParts>
  <Company>SPecialiST RePack</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dc:title>
  <dc:subject/>
  <dc:creator>1</dc:creator>
  <cp:keywords/>
  <dc:description/>
  <cp:lastModifiedBy>XXX1</cp:lastModifiedBy>
  <cp:revision>5</cp:revision>
  <dcterms:created xsi:type="dcterms:W3CDTF">2018-12-20T13:10:00Z</dcterms:created>
  <dcterms:modified xsi:type="dcterms:W3CDTF">2023-04-14T06:44:00Z</dcterms:modified>
</cp:coreProperties>
</file>