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FE" w:rsidRDefault="00BE44FE" w:rsidP="00697B4E">
      <w:pPr>
        <w:spacing w:line="240" w:lineRule="auto"/>
        <w:ind w:left="0" w:firstLine="0"/>
        <w:rPr>
          <w:rFonts w:ascii="Times New Roman" w:hAnsi="Times New Roman" w:cs="Times New Roman"/>
          <w:b/>
          <w:sz w:val="26"/>
        </w:rPr>
      </w:pPr>
    </w:p>
    <w:p w:rsidR="00BE44FE" w:rsidRDefault="00BE44FE" w:rsidP="00BE44FE">
      <w:pPr>
        <w:spacing w:line="240" w:lineRule="auto"/>
        <w:jc w:val="center"/>
        <w:rPr>
          <w:rFonts w:ascii="Times New Roman" w:hAnsi="Times New Roman" w:cs="Times New Roman"/>
          <w:b/>
          <w:sz w:val="26"/>
        </w:rPr>
      </w:pPr>
    </w:p>
    <w:p w:rsidR="00BE44FE" w:rsidRDefault="00BE44FE" w:rsidP="00BE44FE">
      <w:pPr>
        <w:spacing w:line="240" w:lineRule="auto"/>
        <w:jc w:val="center"/>
        <w:rPr>
          <w:rFonts w:ascii="Times New Roman" w:hAnsi="Times New Roman" w:cs="Times New Roman"/>
          <w:b/>
          <w:sz w:val="26"/>
        </w:rPr>
      </w:pPr>
      <w:r>
        <w:rPr>
          <w:rFonts w:ascii="Times New Roman" w:hAnsi="Times New Roman" w:cs="Times New Roman"/>
          <w:b/>
          <w:sz w:val="26"/>
        </w:rPr>
        <w:t>РОССИЙСКАЯ ФЕДЕРАЦИЯ</w:t>
      </w:r>
    </w:p>
    <w:p w:rsidR="00BE44FE" w:rsidRDefault="00BE44FE" w:rsidP="00BE44FE">
      <w:pPr>
        <w:spacing w:line="240" w:lineRule="auto"/>
        <w:jc w:val="center"/>
        <w:rPr>
          <w:rFonts w:ascii="Times New Roman" w:hAnsi="Times New Roman" w:cs="Times New Roman"/>
          <w:b/>
          <w:sz w:val="26"/>
        </w:rPr>
      </w:pPr>
      <w:r>
        <w:rPr>
          <w:rFonts w:ascii="Times New Roman" w:hAnsi="Times New Roman" w:cs="Times New Roman"/>
          <w:b/>
          <w:sz w:val="26"/>
        </w:rPr>
        <w:t>АДМИНИСТРАЦИЯ ГОРДЕЕВСКОГО РАЙОНА БРЯНСКОЙ ОБЛАСТИ</w:t>
      </w:r>
    </w:p>
    <w:p w:rsidR="00BE44FE" w:rsidRDefault="00BE44FE" w:rsidP="00BE44FE">
      <w:pPr>
        <w:spacing w:line="240" w:lineRule="auto"/>
        <w:jc w:val="center"/>
        <w:rPr>
          <w:rFonts w:ascii="Times New Roman" w:hAnsi="Times New Roman" w:cs="Times New Roman"/>
          <w:b/>
          <w:sz w:val="26"/>
        </w:rPr>
      </w:pPr>
      <w:r>
        <w:rPr>
          <w:rFonts w:ascii="Times New Roman" w:hAnsi="Times New Roman" w:cs="Times New Roman"/>
          <w:b/>
          <w:sz w:val="26"/>
        </w:rPr>
        <w:t>_______________________________________________________________________</w:t>
      </w:r>
    </w:p>
    <w:p w:rsidR="00BE44FE" w:rsidRDefault="00BE44FE" w:rsidP="00BE44FE">
      <w:pPr>
        <w:spacing w:line="240" w:lineRule="auto"/>
        <w:jc w:val="center"/>
        <w:rPr>
          <w:rFonts w:ascii="Times New Roman" w:hAnsi="Times New Roman" w:cs="Times New Roman"/>
          <w:b/>
          <w:sz w:val="48"/>
        </w:rPr>
      </w:pPr>
      <w:r>
        <w:rPr>
          <w:rFonts w:ascii="Times New Roman" w:hAnsi="Times New Roman" w:cs="Times New Roman"/>
          <w:b/>
          <w:sz w:val="48"/>
        </w:rPr>
        <w:t>П О С Т А Н О В Л Е Н И Е</w:t>
      </w:r>
    </w:p>
    <w:p w:rsidR="00BE44FE" w:rsidRDefault="00BE44FE" w:rsidP="00BE44FE">
      <w:pPr>
        <w:rPr>
          <w:rFonts w:ascii="Times New Roman" w:hAnsi="Times New Roman" w:cs="Times New Roman"/>
          <w:sz w:val="28"/>
        </w:rPr>
      </w:pPr>
    </w:p>
    <w:p w:rsidR="00BE44FE" w:rsidRDefault="00BE44FE" w:rsidP="00BE44FE">
      <w:pPr>
        <w:spacing w:before="0" w:line="240" w:lineRule="auto"/>
        <w:rPr>
          <w:rFonts w:ascii="Times New Roman" w:hAnsi="Times New Roman" w:cs="Times New Roman"/>
          <w:sz w:val="28"/>
        </w:rPr>
      </w:pPr>
      <w:r>
        <w:rPr>
          <w:rFonts w:ascii="Times New Roman" w:hAnsi="Times New Roman" w:cs="Times New Roman"/>
          <w:sz w:val="28"/>
        </w:rPr>
        <w:t>от 14.12.2015 г.   № 758-а</w:t>
      </w:r>
    </w:p>
    <w:p w:rsidR="00BE44FE" w:rsidRDefault="00BE44FE" w:rsidP="00BE44FE">
      <w:pPr>
        <w:spacing w:before="0" w:line="240" w:lineRule="auto"/>
        <w:rPr>
          <w:rFonts w:ascii="Times New Roman" w:hAnsi="Times New Roman" w:cs="Times New Roman"/>
          <w:sz w:val="28"/>
        </w:rPr>
      </w:pPr>
      <w:r>
        <w:rPr>
          <w:rFonts w:ascii="Times New Roman" w:hAnsi="Times New Roman" w:cs="Times New Roman"/>
          <w:sz w:val="28"/>
        </w:rPr>
        <w:t>с.Гордеевка</w:t>
      </w:r>
    </w:p>
    <w:p w:rsidR="00BE44FE" w:rsidRDefault="00BE44FE" w:rsidP="00BE44FE">
      <w:pPr>
        <w:tabs>
          <w:tab w:val="left" w:pos="5387"/>
          <w:tab w:val="left" w:pos="6521"/>
        </w:tabs>
        <w:spacing w:before="0" w:line="240" w:lineRule="auto"/>
        <w:ind w:right="3544"/>
        <w:rPr>
          <w:rFonts w:ascii="Times New Roman" w:hAnsi="Times New Roman" w:cs="Times New Roman"/>
          <w:sz w:val="28"/>
        </w:rPr>
      </w:pPr>
    </w:p>
    <w:p w:rsidR="00BE44FE" w:rsidRDefault="00BE44FE" w:rsidP="00BE44FE">
      <w:pPr>
        <w:tabs>
          <w:tab w:val="left" w:pos="5387"/>
          <w:tab w:val="left" w:pos="6521"/>
        </w:tabs>
        <w:spacing w:before="0" w:line="240" w:lineRule="auto"/>
        <w:ind w:right="3544"/>
        <w:rPr>
          <w:rFonts w:ascii="Times New Roman" w:hAnsi="Times New Roman" w:cs="Times New Roman"/>
          <w:sz w:val="28"/>
        </w:rPr>
      </w:pPr>
      <w:r>
        <w:rPr>
          <w:rFonts w:ascii="Times New Roman" w:hAnsi="Times New Roman" w:cs="Times New Roman"/>
          <w:sz w:val="28"/>
        </w:rPr>
        <w:t>Об утверждении муниципальной программы</w:t>
      </w:r>
    </w:p>
    <w:p w:rsidR="00BE44FE" w:rsidRDefault="00BE44FE" w:rsidP="00BE44FE">
      <w:pPr>
        <w:tabs>
          <w:tab w:val="left" w:pos="5387"/>
          <w:tab w:val="left" w:pos="6521"/>
        </w:tabs>
        <w:spacing w:before="0" w:line="240" w:lineRule="auto"/>
        <w:ind w:right="3544"/>
        <w:rPr>
          <w:rFonts w:ascii="Times New Roman" w:hAnsi="Times New Roman" w:cs="Times New Roman"/>
          <w:sz w:val="28"/>
        </w:rPr>
      </w:pPr>
      <w:r>
        <w:rPr>
          <w:rFonts w:ascii="Times New Roman" w:hAnsi="Times New Roman" w:cs="Times New Roman"/>
          <w:sz w:val="28"/>
        </w:rPr>
        <w:t>«Развитие культуры Гордеевского  района</w:t>
      </w:r>
    </w:p>
    <w:p w:rsidR="00BE44FE" w:rsidRDefault="00BE44FE" w:rsidP="00BE44FE">
      <w:pPr>
        <w:tabs>
          <w:tab w:val="left" w:pos="5387"/>
          <w:tab w:val="left" w:pos="6521"/>
        </w:tabs>
        <w:spacing w:before="0" w:line="240" w:lineRule="auto"/>
        <w:ind w:right="3544"/>
        <w:rPr>
          <w:rFonts w:ascii="Times New Roman" w:hAnsi="Times New Roman" w:cs="Times New Roman"/>
          <w:sz w:val="28"/>
        </w:rPr>
      </w:pPr>
      <w:r>
        <w:rPr>
          <w:rFonts w:ascii="Times New Roman" w:hAnsi="Times New Roman" w:cs="Times New Roman"/>
          <w:sz w:val="28"/>
        </w:rPr>
        <w:t xml:space="preserve"> на 2015-2017 годы» </w:t>
      </w:r>
    </w:p>
    <w:p w:rsidR="00BE44FE" w:rsidRDefault="00BE44FE" w:rsidP="00BE44FE">
      <w:pPr>
        <w:spacing w:before="0" w:line="240" w:lineRule="auto"/>
        <w:rPr>
          <w:rFonts w:ascii="Times New Roman" w:hAnsi="Times New Roman" w:cs="Times New Roman"/>
          <w:sz w:val="28"/>
          <w:szCs w:val="28"/>
        </w:rPr>
      </w:pPr>
      <w:r>
        <w:rPr>
          <w:rFonts w:ascii="Times New Roman" w:hAnsi="Times New Roman" w:cs="Times New Roman"/>
          <w:sz w:val="28"/>
        </w:rPr>
        <w:t xml:space="preserve">       В соответствии с Постановлением администрации Гордеевского района от  12.11.2013 г.   № 590 «</w:t>
      </w:r>
      <w:r>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Гордеевского района  Брянской области »</w:t>
      </w:r>
    </w:p>
    <w:p w:rsidR="00BE44FE" w:rsidRDefault="00BE44FE" w:rsidP="00BE44FE">
      <w:pPr>
        <w:spacing w:line="240" w:lineRule="auto"/>
        <w:ind w:firstLine="709"/>
        <w:rPr>
          <w:rFonts w:ascii="Times New Roman" w:hAnsi="Times New Roman" w:cs="Times New Roman"/>
          <w:sz w:val="28"/>
        </w:rPr>
      </w:pPr>
      <w:r>
        <w:rPr>
          <w:rFonts w:ascii="Times New Roman" w:hAnsi="Times New Roman" w:cs="Times New Roman"/>
          <w:sz w:val="28"/>
        </w:rPr>
        <w:t>1.Утвердить прилагаемую муниципальную программу "Развитие культуры Гордеевского  района на 2015-2017годы".</w:t>
      </w:r>
    </w:p>
    <w:p w:rsidR="00BE44FE" w:rsidRDefault="00BE44FE" w:rsidP="00BE44FE">
      <w:pPr>
        <w:tabs>
          <w:tab w:val="left" w:pos="5387"/>
          <w:tab w:val="left" w:pos="6521"/>
          <w:tab w:val="left" w:pos="9637"/>
        </w:tabs>
        <w:spacing w:line="240" w:lineRule="auto"/>
        <w:ind w:right="-2"/>
        <w:rPr>
          <w:rFonts w:ascii="Times New Roman" w:hAnsi="Times New Roman" w:cs="Times New Roman"/>
          <w:sz w:val="28"/>
        </w:rPr>
      </w:pPr>
      <w:r>
        <w:rPr>
          <w:rFonts w:ascii="Times New Roman" w:hAnsi="Times New Roman"/>
          <w:sz w:val="28"/>
        </w:rPr>
        <w:t xml:space="preserve">             </w:t>
      </w:r>
      <w:r>
        <w:rPr>
          <w:rFonts w:ascii="Times New Roman" w:hAnsi="Times New Roman" w:cs="Times New Roman"/>
          <w:sz w:val="28"/>
        </w:rPr>
        <w:t>2.</w:t>
      </w:r>
      <w:r>
        <w:rPr>
          <w:rFonts w:ascii="Times New Roman" w:hAnsi="Times New Roman"/>
          <w:sz w:val="28"/>
          <w:szCs w:val="28"/>
        </w:rPr>
        <w:t xml:space="preserve">Считать утратившим силу постановление администрации Гордеевского района от </w:t>
      </w:r>
      <w:r>
        <w:rPr>
          <w:rFonts w:ascii="Times New Roman" w:hAnsi="Times New Roman" w:cs="Times New Roman"/>
          <w:sz w:val="28"/>
        </w:rPr>
        <w:t>08.12.2014г.№848</w:t>
      </w:r>
      <w:r>
        <w:rPr>
          <w:rFonts w:ascii="Times New Roman" w:hAnsi="Times New Roman"/>
          <w:sz w:val="28"/>
          <w:szCs w:val="28"/>
        </w:rPr>
        <w:t xml:space="preserve"> «</w:t>
      </w:r>
      <w:r>
        <w:rPr>
          <w:rFonts w:ascii="Times New Roman" w:hAnsi="Times New Roman" w:cs="Times New Roman"/>
          <w:sz w:val="28"/>
        </w:rPr>
        <w:t xml:space="preserve">Об утверждении муниципальной программы «Развитие культуры Гордеевского  района  на 2015-2017 годы» </w:t>
      </w:r>
    </w:p>
    <w:p w:rsidR="00BE44FE" w:rsidRDefault="00BE44FE" w:rsidP="00BE44FE">
      <w:pPr>
        <w:tabs>
          <w:tab w:val="left" w:pos="5387"/>
          <w:tab w:val="left" w:pos="6521"/>
        </w:tabs>
        <w:spacing w:line="240" w:lineRule="auto"/>
        <w:ind w:firstLine="709"/>
        <w:rPr>
          <w:rFonts w:ascii="Times New Roman" w:hAnsi="Times New Roman" w:cs="Times New Roman"/>
          <w:sz w:val="28"/>
        </w:rPr>
      </w:pPr>
      <w:r>
        <w:rPr>
          <w:rFonts w:ascii="Times New Roman" w:hAnsi="Times New Roman" w:cs="Times New Roman"/>
          <w:sz w:val="28"/>
        </w:rPr>
        <w:t>3.Опубликовать настоящее Постановление на официальном сайте администрации Гордеевского муниципального района в сети Интернет.</w:t>
      </w:r>
    </w:p>
    <w:p w:rsidR="00BE44FE" w:rsidRDefault="00BE44FE" w:rsidP="00BE44FE">
      <w:pPr>
        <w:tabs>
          <w:tab w:val="left" w:pos="5529"/>
        </w:tabs>
        <w:spacing w:line="240" w:lineRule="auto"/>
        <w:ind w:firstLine="709"/>
        <w:rPr>
          <w:rFonts w:ascii="Times New Roman" w:hAnsi="Times New Roman" w:cs="Times New Roman"/>
          <w:sz w:val="28"/>
        </w:rPr>
      </w:pPr>
      <w:r>
        <w:rPr>
          <w:rFonts w:ascii="Times New Roman" w:hAnsi="Times New Roman" w:cs="Times New Roman"/>
          <w:sz w:val="28"/>
        </w:rPr>
        <w:t xml:space="preserve">4.Контроль за исполнением постановления возложить на директора МБУК «Гордеевский культурно- досуговый </w:t>
      </w:r>
      <w:proofErr w:type="gramStart"/>
      <w:r>
        <w:rPr>
          <w:rFonts w:ascii="Times New Roman" w:hAnsi="Times New Roman" w:cs="Times New Roman"/>
          <w:sz w:val="28"/>
        </w:rPr>
        <w:t>центр»  Дивисенко</w:t>
      </w:r>
      <w:proofErr w:type="gramEnd"/>
      <w:r>
        <w:rPr>
          <w:rFonts w:ascii="Times New Roman" w:hAnsi="Times New Roman" w:cs="Times New Roman"/>
          <w:sz w:val="28"/>
        </w:rPr>
        <w:t xml:space="preserve"> Е.П., директора МБУК «</w:t>
      </w:r>
      <w:proofErr w:type="spellStart"/>
      <w:r>
        <w:rPr>
          <w:rFonts w:ascii="Times New Roman" w:hAnsi="Times New Roman" w:cs="Times New Roman"/>
          <w:sz w:val="28"/>
        </w:rPr>
        <w:t>Межпоселенческая</w:t>
      </w:r>
      <w:proofErr w:type="spellEnd"/>
      <w:r>
        <w:rPr>
          <w:rFonts w:ascii="Times New Roman" w:hAnsi="Times New Roman" w:cs="Times New Roman"/>
          <w:sz w:val="28"/>
        </w:rPr>
        <w:t xml:space="preserve"> централизованная библиотечная система Гордеевского района» Концевую С.С..</w:t>
      </w:r>
    </w:p>
    <w:p w:rsidR="00BE44FE" w:rsidRDefault="00BE44FE" w:rsidP="00BE44FE">
      <w:pPr>
        <w:spacing w:line="240" w:lineRule="auto"/>
        <w:ind w:firstLine="709"/>
        <w:rPr>
          <w:rFonts w:ascii="Times New Roman" w:hAnsi="Times New Roman" w:cs="Times New Roman"/>
          <w:sz w:val="28"/>
        </w:rPr>
      </w:pPr>
      <w:r>
        <w:rPr>
          <w:rFonts w:ascii="Times New Roman" w:hAnsi="Times New Roman" w:cs="Times New Roman"/>
          <w:sz w:val="28"/>
        </w:rPr>
        <w:t>Глава администрации</w:t>
      </w:r>
    </w:p>
    <w:p w:rsidR="00BE44FE" w:rsidRDefault="00BE44FE" w:rsidP="00BE44FE">
      <w:pPr>
        <w:spacing w:line="240" w:lineRule="auto"/>
        <w:ind w:firstLine="709"/>
        <w:rPr>
          <w:rFonts w:ascii="Times New Roman" w:hAnsi="Times New Roman" w:cs="Times New Roman"/>
          <w:sz w:val="24"/>
        </w:rPr>
      </w:pPr>
      <w:r>
        <w:rPr>
          <w:rFonts w:ascii="Times New Roman" w:hAnsi="Times New Roman" w:cs="Times New Roman"/>
          <w:sz w:val="28"/>
        </w:rPr>
        <w:t xml:space="preserve">Гордеевского района                                              </w:t>
      </w:r>
      <w:proofErr w:type="spellStart"/>
      <w:r>
        <w:rPr>
          <w:rFonts w:ascii="Times New Roman" w:hAnsi="Times New Roman" w:cs="Times New Roman"/>
          <w:sz w:val="28"/>
        </w:rPr>
        <w:t>Убоговаа</w:t>
      </w:r>
      <w:proofErr w:type="spellEnd"/>
      <w:r>
        <w:rPr>
          <w:rFonts w:ascii="Times New Roman" w:hAnsi="Times New Roman" w:cs="Times New Roman"/>
          <w:sz w:val="28"/>
        </w:rPr>
        <w:t xml:space="preserve"> Л.И.</w:t>
      </w:r>
    </w:p>
    <w:p w:rsidR="00BE44FE" w:rsidRDefault="00BE44FE" w:rsidP="00BE44FE">
      <w:pPr>
        <w:rPr>
          <w:rFonts w:ascii="Calibri" w:eastAsia="Calibri" w:hAnsi="Calibri" w:cs="Calibri"/>
        </w:rPr>
      </w:pPr>
      <w:r>
        <w:rPr>
          <w:rFonts w:ascii="Calibri" w:eastAsia="Calibri" w:hAnsi="Calibri" w:cs="Calibri"/>
        </w:rPr>
        <w:t>исп.                                                                            Дивисенко Е.П.</w:t>
      </w:r>
    </w:p>
    <w:p w:rsidR="00BE44FE" w:rsidRDefault="00BE44FE" w:rsidP="00BE44FE">
      <w:pPr>
        <w:rPr>
          <w:rFonts w:ascii="Calibri" w:eastAsia="Calibri" w:hAnsi="Calibri" w:cs="Calibri"/>
        </w:rPr>
      </w:pPr>
      <w:r>
        <w:rPr>
          <w:rFonts w:ascii="Calibri" w:eastAsia="Calibri" w:hAnsi="Calibri" w:cs="Calibri"/>
        </w:rPr>
        <w:t>Начальник отдела ОК и КР                                     Глушак М.Н.</w:t>
      </w:r>
    </w:p>
    <w:p w:rsidR="00BE44FE" w:rsidRDefault="00BE44FE" w:rsidP="00BE44FE">
      <w:pPr>
        <w:rPr>
          <w:rFonts w:ascii="Calibri" w:eastAsia="Calibri" w:hAnsi="Calibri" w:cs="Calibri"/>
          <w:b/>
        </w:rPr>
      </w:pPr>
      <w:r>
        <w:rPr>
          <w:rFonts w:ascii="Calibri" w:eastAsia="Calibri" w:hAnsi="Calibri" w:cs="Calibri"/>
        </w:rPr>
        <w:t xml:space="preserve">Юрист                                                                        </w:t>
      </w:r>
      <w:proofErr w:type="spellStart"/>
      <w:r>
        <w:rPr>
          <w:rFonts w:ascii="Calibri" w:eastAsia="Calibri" w:hAnsi="Calibri" w:cs="Calibri"/>
        </w:rPr>
        <w:t>Клещевникрва</w:t>
      </w:r>
      <w:proofErr w:type="spellEnd"/>
      <w:r>
        <w:rPr>
          <w:rFonts w:ascii="Calibri" w:eastAsia="Calibri" w:hAnsi="Calibri" w:cs="Calibri"/>
        </w:rPr>
        <w:t xml:space="preserve"> И.М..  </w:t>
      </w:r>
    </w:p>
    <w:p w:rsidR="00BE44FE" w:rsidRDefault="00BE44FE" w:rsidP="00BE44FE">
      <w:pPr>
        <w:rPr>
          <w:rFonts w:ascii="Calibri" w:eastAsia="Calibri" w:hAnsi="Calibri" w:cs="Calibri"/>
        </w:rPr>
      </w:pPr>
    </w:p>
    <w:p w:rsidR="00BE44FE" w:rsidRDefault="00BE44FE" w:rsidP="00BE44FE">
      <w:pPr>
        <w:ind w:firstLine="708"/>
        <w:rPr>
          <w:rFonts w:ascii="Times New Roman" w:hAnsi="Times New Roman" w:cs="Times New Roman"/>
          <w:sz w:val="24"/>
        </w:rPr>
      </w:pPr>
    </w:p>
    <w:p w:rsidR="00BE44FE" w:rsidRDefault="00BE44FE" w:rsidP="00BE44FE">
      <w:pPr>
        <w:ind w:firstLine="708"/>
        <w:rPr>
          <w:rFonts w:ascii="Times New Roman" w:hAnsi="Times New Roman" w:cs="Times New Roman"/>
          <w:sz w:val="24"/>
        </w:rPr>
      </w:pPr>
    </w:p>
    <w:p w:rsidR="00BE44FE" w:rsidRDefault="00BE44FE" w:rsidP="00BE44FE">
      <w:pPr>
        <w:ind w:firstLine="708"/>
        <w:rPr>
          <w:rFonts w:ascii="Times New Roman" w:hAnsi="Times New Roman" w:cs="Times New Roman"/>
          <w:sz w:val="24"/>
        </w:rPr>
      </w:pPr>
    </w:p>
    <w:p w:rsidR="00BE44FE" w:rsidRDefault="00BE44FE" w:rsidP="00BE44FE">
      <w:pPr>
        <w:pStyle w:val="a4"/>
        <w:ind w:left="444" w:firstLine="52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BE44FE" w:rsidRDefault="00BE44FE" w:rsidP="00BE44FE">
      <w:pPr>
        <w:pStyle w:val="a4"/>
        <w:ind w:left="444" w:firstLine="52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Утверждена </w:t>
      </w:r>
    </w:p>
    <w:p w:rsidR="00BE44FE" w:rsidRDefault="00BE44FE" w:rsidP="00BE44FE">
      <w:pPr>
        <w:pStyle w:val="a4"/>
        <w:ind w:firstLine="522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постановлением администрации </w:t>
      </w:r>
    </w:p>
    <w:p w:rsidR="00BE44FE" w:rsidRDefault="00BE44FE" w:rsidP="00BE44FE">
      <w:pPr>
        <w:pStyle w:val="a4"/>
        <w:tabs>
          <w:tab w:val="left" w:pos="6336"/>
          <w:tab w:val="right" w:pos="9637"/>
        </w:tabs>
        <w:ind w:firstLine="5220"/>
        <w:jc w:val="left"/>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Гордеевского  района </w:t>
      </w:r>
    </w:p>
    <w:p w:rsidR="00BE44FE" w:rsidRDefault="00F17F54" w:rsidP="00BE44FE">
      <w:pPr>
        <w:pStyle w:val="a4"/>
        <w:tabs>
          <w:tab w:val="left" w:pos="6248"/>
          <w:tab w:val="right" w:pos="9637"/>
        </w:tabs>
        <w:ind w:firstLine="5220"/>
        <w:jc w:val="left"/>
        <w:rPr>
          <w:rFonts w:ascii="Times New Roman" w:hAnsi="Times New Roman" w:cs="Times New Roman"/>
          <w:b w:val="0"/>
          <w:bCs w:val="0"/>
          <w:sz w:val="24"/>
          <w:szCs w:val="24"/>
        </w:rPr>
      </w:pPr>
      <w:r>
        <w:rPr>
          <w:rFonts w:ascii="Times New Roman" w:hAnsi="Times New Roman" w:cs="Times New Roman"/>
          <w:b w:val="0"/>
          <w:bCs w:val="0"/>
          <w:sz w:val="24"/>
          <w:szCs w:val="24"/>
        </w:rPr>
        <w:tab/>
        <w:t>от 14.12.2015 г.  №758-а</w:t>
      </w:r>
      <w:r w:rsidR="00BE44FE">
        <w:rPr>
          <w:rFonts w:ascii="Times New Roman" w:hAnsi="Times New Roman" w:cs="Times New Roman"/>
          <w:b w:val="0"/>
          <w:bCs w:val="0"/>
          <w:sz w:val="24"/>
          <w:szCs w:val="24"/>
        </w:rPr>
        <w:t xml:space="preserve">  </w:t>
      </w:r>
    </w:p>
    <w:p w:rsidR="00BE44FE" w:rsidRDefault="00BE44FE" w:rsidP="00BE44FE">
      <w:pPr>
        <w:pStyle w:val="a4"/>
        <w:rPr>
          <w:rFonts w:ascii="Times New Roman" w:hAnsi="Times New Roman" w:cs="Times New Roman"/>
          <w:b w:val="0"/>
          <w:bCs w:val="0"/>
          <w:sz w:val="24"/>
          <w:szCs w:val="24"/>
        </w:rPr>
      </w:pPr>
    </w:p>
    <w:p w:rsidR="00BE44FE" w:rsidRDefault="00BE44FE" w:rsidP="00BE44FE">
      <w:pPr>
        <w:pStyle w:val="a4"/>
        <w:rPr>
          <w:rFonts w:ascii="Times New Roman" w:hAnsi="Times New Roman" w:cs="Times New Roman"/>
          <w:sz w:val="24"/>
          <w:szCs w:val="24"/>
        </w:rPr>
      </w:pPr>
    </w:p>
    <w:p w:rsidR="00BE44FE" w:rsidRDefault="00BE44FE" w:rsidP="00BE44FE">
      <w:pPr>
        <w:pStyle w:val="a4"/>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p>
    <w:p w:rsidR="00BE44FE" w:rsidRDefault="00BE44FE" w:rsidP="00BE44FE">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«Развитие культуры Гордеевского  района </w:t>
      </w:r>
    </w:p>
    <w:p w:rsidR="00BE44FE" w:rsidRDefault="00BE44FE" w:rsidP="00BE44FE">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на 2015-2017 годы»</w:t>
      </w:r>
    </w:p>
    <w:p w:rsidR="00BE44FE" w:rsidRDefault="00BE44FE" w:rsidP="00BE44FE">
      <w:pPr>
        <w:pStyle w:val="a6"/>
        <w:spacing w:line="240" w:lineRule="auto"/>
        <w:rPr>
          <w:rFonts w:ascii="Times New Roman" w:hAnsi="Times New Roman" w:cs="Times New Roman"/>
          <w:b w:val="0"/>
          <w:bCs w:val="0"/>
          <w:i w:val="0"/>
          <w:iCs w:val="0"/>
          <w:sz w:val="24"/>
          <w:szCs w:val="24"/>
        </w:rPr>
      </w:pPr>
    </w:p>
    <w:p w:rsidR="00BE44FE" w:rsidRDefault="00BE44FE" w:rsidP="00BE44FE">
      <w:pPr>
        <w:pStyle w:val="a6"/>
        <w:spacing w:line="240" w:lineRule="auto"/>
        <w:rPr>
          <w:rFonts w:ascii="Times New Roman" w:hAnsi="Times New Roman" w:cs="Times New Roman"/>
          <w:b w:val="0"/>
          <w:bCs w:val="0"/>
          <w:i w:val="0"/>
          <w:iCs w:val="0"/>
          <w:sz w:val="24"/>
          <w:szCs w:val="24"/>
        </w:rPr>
      </w:pPr>
    </w:p>
    <w:p w:rsidR="00BE44FE" w:rsidRDefault="00BE44FE" w:rsidP="00BE44FE">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ПАСПОРТ </w:t>
      </w:r>
    </w:p>
    <w:p w:rsidR="00BE44FE" w:rsidRDefault="00BE44FE" w:rsidP="00BE44FE">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муниципальной программы</w:t>
      </w:r>
    </w:p>
    <w:p w:rsidR="00BE44FE" w:rsidRDefault="00BE44FE" w:rsidP="00BE44FE">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«Развитие культуры Гордеевского  района </w:t>
      </w:r>
    </w:p>
    <w:p w:rsidR="00BE44FE" w:rsidRDefault="00BE44FE" w:rsidP="00BE44FE">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на 2015-2017 годы»</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BE44FE" w:rsidTr="00BE44FE">
        <w:tc>
          <w:tcPr>
            <w:tcW w:w="3348"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Муниципальная программа «Развитие культуры Гордеевского муниципального района на</w:t>
            </w:r>
          </w:p>
          <w:p w:rsidR="00BE44FE" w:rsidRDefault="00BE44FE" w:rsidP="00BE44FE">
            <w:pPr>
              <w:pStyle w:val="a6"/>
              <w:spacing w:line="240"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2015-2017 годы»</w:t>
            </w:r>
          </w:p>
        </w:tc>
      </w:tr>
      <w:tr w:rsidR="00BE44FE" w:rsidTr="00BE44FE">
        <w:tc>
          <w:tcPr>
            <w:tcW w:w="3348"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МБУК «Гордеевский культурно- досуговый центр», </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МБУК «</w:t>
            </w:r>
            <w:proofErr w:type="spellStart"/>
            <w:r>
              <w:rPr>
                <w:rFonts w:ascii="Times New Roman" w:hAnsi="Times New Roman" w:cs="Times New Roman"/>
                <w:b w:val="0"/>
                <w:bCs w:val="0"/>
                <w:i w:val="0"/>
                <w:iCs w:val="0"/>
                <w:sz w:val="24"/>
                <w:szCs w:val="24"/>
              </w:rPr>
              <w:t>Межпоселенческая</w:t>
            </w:r>
            <w:proofErr w:type="spellEnd"/>
            <w:r>
              <w:rPr>
                <w:rFonts w:ascii="Times New Roman" w:hAnsi="Times New Roman" w:cs="Times New Roman"/>
                <w:b w:val="0"/>
                <w:bCs w:val="0"/>
                <w:i w:val="0"/>
                <w:iCs w:val="0"/>
                <w:sz w:val="24"/>
                <w:szCs w:val="24"/>
              </w:rPr>
              <w:t xml:space="preserve"> централизованная библиотечная система Гордеевского района», муниципальные учреждения культуры</w:t>
            </w:r>
          </w:p>
        </w:tc>
      </w:tr>
      <w:tr w:rsidR="00BE44FE" w:rsidTr="00BE44FE">
        <w:tc>
          <w:tcPr>
            <w:tcW w:w="3348" w:type="dxa"/>
            <w:tcBorders>
              <w:top w:val="single" w:sz="4" w:space="0" w:color="auto"/>
              <w:left w:val="single" w:sz="4" w:space="0" w:color="auto"/>
              <w:bottom w:val="single" w:sz="4" w:space="0" w:color="auto"/>
              <w:right w:val="single" w:sz="4" w:space="0" w:color="auto"/>
            </w:tcBorders>
            <w:vAlign w:val="center"/>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Цель муниципальной программы</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Обеспечение прав граждан на доступ к культурным ценностям;</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обеспечение свободы творчества и прав граждан на участие в культурной жизни;</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удовлетворение потребностей населения района в сфере культуры и искусства, повышение привлекательности учреждений культуры для жителей и гостей района.</w:t>
            </w:r>
          </w:p>
        </w:tc>
      </w:tr>
      <w:tr w:rsidR="00BE44FE" w:rsidTr="00BE44FE">
        <w:tc>
          <w:tcPr>
            <w:tcW w:w="3348" w:type="dxa"/>
            <w:tcBorders>
              <w:top w:val="single" w:sz="4" w:space="0" w:color="auto"/>
              <w:left w:val="single" w:sz="4" w:space="0" w:color="auto"/>
              <w:bottom w:val="single" w:sz="4" w:space="0" w:color="auto"/>
              <w:right w:val="single" w:sz="4" w:space="0" w:color="auto"/>
            </w:tcBorders>
            <w:vAlign w:val="center"/>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Задачи муниципальной программы</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Создание условий для расширения доступа различных категорий населения к культурным ценностям, культурно-историческому наследию;</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сохранение и развитие творческого потенциала Гордеевского  района;</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организация библиотечно-информационного обслуживания населения района:</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обновление библиотечного фонда с учетом культурных и информационных потребностей населения;</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сотрудничество с другими библиотеками, развитие системы межбиблиотечного абонемента;</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расширение номенклатуры библиотечно-информационных и культурно-досуговых услуг на платной;</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развитие системы непрерывного профессионального образования и повышения квалификации работников культуры и образования; </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внедрение бюджетного финансирования отрасли культуры, ориентированного на результат;</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повышение эффективности бюджетных расходов в сфере культуры;</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развитие межкультурного взаимодействия, расширение международного и межрегионального культурного сотрудничества;</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формирование экономических условий, обеспечивающих муниципальную систему культуры финансовыми, материально-техническими ресурсами;</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осуществление комплексных мер по стимулированию инновационной деятельности учреждений и работников культуры.</w:t>
            </w:r>
          </w:p>
        </w:tc>
      </w:tr>
      <w:tr w:rsidR="00BE44FE" w:rsidTr="00BE44FE">
        <w:tc>
          <w:tcPr>
            <w:tcW w:w="3348"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jc w:val="left"/>
              <w:rPr>
                <w:rFonts w:ascii="Times New Roman" w:hAnsi="Times New Roman" w:cs="Times New Roman"/>
                <w:b w:val="0"/>
                <w:bCs w:val="0"/>
                <w:i w:val="0"/>
                <w:iCs w:val="0"/>
                <w:color w:val="FF0000"/>
                <w:sz w:val="24"/>
                <w:szCs w:val="24"/>
              </w:rPr>
            </w:pPr>
            <w:r>
              <w:rPr>
                <w:rFonts w:ascii="Times New Roman" w:hAnsi="Times New Roman" w:cs="Times New Roman"/>
                <w:b w:val="0"/>
                <w:bCs w:val="0"/>
                <w:i w:val="0"/>
                <w:iCs w:val="0"/>
                <w:sz w:val="24"/>
                <w:szCs w:val="24"/>
              </w:rPr>
              <w:t>2015-2017 годы</w:t>
            </w:r>
          </w:p>
        </w:tc>
      </w:tr>
      <w:tr w:rsidR="00BE44FE" w:rsidTr="00BE44FE">
        <w:tc>
          <w:tcPr>
            <w:tcW w:w="3348"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Объемы бюджетных ассигнований на реализацию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Общая сумма затрат учреждений культуры и </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составляет - </w:t>
            </w:r>
            <w:r w:rsidR="00F17F54">
              <w:rPr>
                <w:rFonts w:ascii="Times New Roman" w:hAnsi="Times New Roman" w:cs="Times New Roman"/>
                <w:sz w:val="24"/>
                <w:szCs w:val="24"/>
              </w:rPr>
              <w:t>34003875</w:t>
            </w:r>
            <w:r>
              <w:rPr>
                <w:rFonts w:ascii="Times New Roman" w:hAnsi="Times New Roman" w:cs="Times New Roman"/>
                <w:sz w:val="24"/>
                <w:szCs w:val="24"/>
              </w:rPr>
              <w:t>рублей</w:t>
            </w:r>
            <w:r>
              <w:rPr>
                <w:rFonts w:ascii="Times New Roman" w:hAnsi="Times New Roman" w:cs="Times New Roman"/>
                <w:bCs w:val="0"/>
                <w:i w:val="0"/>
                <w:iCs w:val="0"/>
                <w:sz w:val="24"/>
                <w:szCs w:val="24"/>
              </w:rPr>
              <w:t xml:space="preserve"> </w:t>
            </w:r>
            <w:r>
              <w:rPr>
                <w:rFonts w:ascii="Times New Roman" w:hAnsi="Times New Roman" w:cs="Times New Roman"/>
                <w:b w:val="0"/>
                <w:bCs w:val="0"/>
                <w:i w:val="0"/>
                <w:iCs w:val="0"/>
                <w:sz w:val="24"/>
                <w:szCs w:val="24"/>
              </w:rPr>
              <w:t xml:space="preserve"> из них:</w:t>
            </w:r>
          </w:p>
          <w:p w:rsidR="00BE44FE" w:rsidRDefault="00F17F54" w:rsidP="00BE44FE">
            <w:pPr>
              <w:spacing w:before="0" w:line="360" w:lineRule="auto"/>
              <w:ind w:left="0" w:firstLine="54"/>
              <w:rPr>
                <w:rFonts w:ascii="Times New Roman" w:hAnsi="Times New Roman" w:cs="Times New Roman"/>
                <w:sz w:val="24"/>
                <w:szCs w:val="24"/>
              </w:rPr>
            </w:pPr>
            <w:r>
              <w:rPr>
                <w:rFonts w:ascii="Times New Roman" w:hAnsi="Times New Roman" w:cs="Times New Roman"/>
                <w:sz w:val="24"/>
                <w:szCs w:val="24"/>
              </w:rPr>
              <w:t xml:space="preserve"> 2015 год - 11784755</w:t>
            </w:r>
            <w:r w:rsidR="00BE44FE">
              <w:rPr>
                <w:rFonts w:ascii="Times New Roman" w:hAnsi="Times New Roman" w:cs="Times New Roman"/>
                <w:sz w:val="24"/>
                <w:szCs w:val="24"/>
              </w:rPr>
              <w:t xml:space="preserve"> руб.;</w:t>
            </w:r>
          </w:p>
          <w:p w:rsidR="00BE44FE" w:rsidRDefault="00F17F54" w:rsidP="00BE44FE">
            <w:pPr>
              <w:spacing w:before="0" w:line="360" w:lineRule="auto"/>
              <w:ind w:left="0" w:firstLine="54"/>
              <w:rPr>
                <w:rFonts w:ascii="Times New Roman" w:hAnsi="Times New Roman" w:cs="Times New Roman"/>
                <w:sz w:val="24"/>
                <w:szCs w:val="24"/>
              </w:rPr>
            </w:pPr>
            <w:r>
              <w:rPr>
                <w:rFonts w:ascii="Times New Roman" w:hAnsi="Times New Roman" w:cs="Times New Roman"/>
                <w:sz w:val="24"/>
                <w:szCs w:val="24"/>
              </w:rPr>
              <w:t xml:space="preserve"> 2016 год -  11109560</w:t>
            </w:r>
            <w:r w:rsidR="00BE44FE">
              <w:rPr>
                <w:rFonts w:ascii="Times New Roman" w:hAnsi="Times New Roman" w:cs="Times New Roman"/>
                <w:sz w:val="24"/>
                <w:szCs w:val="24"/>
              </w:rPr>
              <w:t>руб.;</w:t>
            </w:r>
          </w:p>
          <w:p w:rsidR="00BE44FE" w:rsidRDefault="00F17F54" w:rsidP="00BE44FE">
            <w:pPr>
              <w:spacing w:before="0" w:line="360" w:lineRule="auto"/>
              <w:ind w:left="0" w:firstLine="54"/>
              <w:rPr>
                <w:rFonts w:ascii="Times New Roman" w:hAnsi="Times New Roman" w:cs="Times New Roman"/>
                <w:sz w:val="24"/>
                <w:szCs w:val="24"/>
              </w:rPr>
            </w:pPr>
            <w:r>
              <w:rPr>
                <w:rFonts w:ascii="Times New Roman" w:hAnsi="Times New Roman" w:cs="Times New Roman"/>
                <w:sz w:val="24"/>
                <w:szCs w:val="24"/>
              </w:rPr>
              <w:t xml:space="preserve"> 2017 год - 11109560</w:t>
            </w:r>
            <w:r w:rsidR="00BE44FE">
              <w:rPr>
                <w:rFonts w:ascii="Times New Roman" w:hAnsi="Times New Roman" w:cs="Times New Roman"/>
                <w:sz w:val="24"/>
                <w:szCs w:val="24"/>
              </w:rPr>
              <w:t>руб.;</w:t>
            </w:r>
          </w:p>
          <w:p w:rsidR="00BE44FE" w:rsidRDefault="00BE44FE" w:rsidP="00BE44FE">
            <w:pPr>
              <w:pStyle w:val="a6"/>
              <w:spacing w:line="240" w:lineRule="auto"/>
              <w:ind w:firstLine="54"/>
              <w:jc w:val="both"/>
              <w:rPr>
                <w:rFonts w:ascii="Times New Roman" w:hAnsi="Times New Roman" w:cs="Times New Roman"/>
                <w:b w:val="0"/>
                <w:bCs w:val="0"/>
                <w:i w:val="0"/>
                <w:iCs w:val="0"/>
                <w:sz w:val="24"/>
                <w:szCs w:val="24"/>
              </w:rPr>
            </w:pPr>
          </w:p>
          <w:p w:rsidR="00BE44FE" w:rsidRDefault="00BE44FE" w:rsidP="00BE44FE">
            <w:pPr>
              <w:pStyle w:val="a6"/>
              <w:tabs>
                <w:tab w:val="left" w:pos="3237"/>
              </w:tabs>
              <w:spacing w:line="240" w:lineRule="auto"/>
              <w:jc w:val="left"/>
              <w:rPr>
                <w:rFonts w:ascii="Times New Roman" w:hAnsi="Times New Roman" w:cs="Times New Roman"/>
                <w:b w:val="0"/>
                <w:bCs w:val="0"/>
                <w:i w:val="0"/>
                <w:iCs w:val="0"/>
                <w:sz w:val="24"/>
                <w:szCs w:val="24"/>
              </w:rPr>
            </w:pPr>
          </w:p>
        </w:tc>
      </w:tr>
      <w:tr w:rsidR="00BE44FE" w:rsidTr="00BE44FE">
        <w:tc>
          <w:tcPr>
            <w:tcW w:w="3348" w:type="dxa"/>
            <w:tcBorders>
              <w:top w:val="single" w:sz="4" w:space="0" w:color="auto"/>
              <w:left w:val="single" w:sz="4" w:space="0" w:color="auto"/>
              <w:bottom w:val="single" w:sz="4" w:space="0" w:color="auto"/>
              <w:right w:val="single" w:sz="4" w:space="0" w:color="auto"/>
            </w:tcBorders>
            <w:vAlign w:val="center"/>
            <w:hideMark/>
          </w:tcPr>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Ожидаемые результаты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Планируемые мероприятия в сфере культуры оказывают содействие реализации государственной политики по модернизации системы культуры на территории Гордеевского  района.</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Мероприятия позволяют:</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-провести оснащение учреждений культуры современным оборудованием для повышения качества культуры;</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-повысить качество и доступность к культурным ценностям посредством внедрения современных информационных технологий и систем;</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-содействовать развитию внутренней инфраструктуры учреждений культуры и осуществлению мер энергосбережения;</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-обеспечивать повышение уровня квалификации специалистов и руководителей учреждений культуры;</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-содействовать решению задач по привлечению молодых специалистов в учреждения культуры Гордеевского муниципального района;</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-развитие инновационных проектов в сфере культуры и искусства;</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-рост числа межрегиональных и международных культурных акций, общественно значимых мероприятий;</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-экономия ресурсов на содержание объектов культуры, более эффективное применение имеющихся средств.</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Результатом проведения мероприятий муниципальной программы будет достижение следующих показателей:</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-соотношение среднемесячной заработной платы специалистов и заработной платы работников в целом по экономике в Брянской области должно быть не менее 100 %;</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учреждений:  в 2015г. – 40 %, в 2016г. – 40 %, в 2017г. – 40 %.;</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-организация и проведение культурно-досуговых </w:t>
            </w:r>
            <w:proofErr w:type="gramStart"/>
            <w:r>
              <w:rPr>
                <w:rFonts w:ascii="Times New Roman" w:hAnsi="Times New Roman" w:cs="Times New Roman"/>
                <w:sz w:val="24"/>
                <w:szCs w:val="24"/>
              </w:rPr>
              <w:t>мероприятий  2015</w:t>
            </w:r>
            <w:proofErr w:type="gramEnd"/>
            <w:r>
              <w:rPr>
                <w:rFonts w:ascii="Times New Roman" w:hAnsi="Times New Roman" w:cs="Times New Roman"/>
                <w:sz w:val="24"/>
                <w:szCs w:val="24"/>
              </w:rPr>
              <w:t xml:space="preserve"> г. -3,1 тыс. </w:t>
            </w:r>
            <w:proofErr w:type="spellStart"/>
            <w:r>
              <w:rPr>
                <w:rFonts w:ascii="Times New Roman" w:hAnsi="Times New Roman" w:cs="Times New Roman"/>
                <w:sz w:val="24"/>
                <w:szCs w:val="24"/>
              </w:rPr>
              <w:t>ед</w:t>
            </w:r>
            <w:proofErr w:type="spellEnd"/>
            <w:r>
              <w:rPr>
                <w:rFonts w:ascii="Times New Roman" w:hAnsi="Times New Roman" w:cs="Times New Roman"/>
                <w:sz w:val="24"/>
                <w:szCs w:val="24"/>
              </w:rPr>
              <w:t xml:space="preserve">; 2016 г. –3,1 тыс. </w:t>
            </w:r>
            <w:proofErr w:type="spellStart"/>
            <w:r>
              <w:rPr>
                <w:rFonts w:ascii="Times New Roman" w:hAnsi="Times New Roman" w:cs="Times New Roman"/>
                <w:sz w:val="24"/>
                <w:szCs w:val="24"/>
              </w:rPr>
              <w:t>ед</w:t>
            </w:r>
            <w:proofErr w:type="spellEnd"/>
            <w:r>
              <w:rPr>
                <w:rFonts w:ascii="Times New Roman" w:hAnsi="Times New Roman" w:cs="Times New Roman"/>
                <w:sz w:val="24"/>
                <w:szCs w:val="24"/>
              </w:rPr>
              <w:t xml:space="preserve">; 2017 г. - 3,1 тыс. </w:t>
            </w:r>
            <w:proofErr w:type="spellStart"/>
            <w:r>
              <w:rPr>
                <w:rFonts w:ascii="Times New Roman" w:hAnsi="Times New Roman" w:cs="Times New Roman"/>
                <w:sz w:val="24"/>
                <w:szCs w:val="24"/>
              </w:rPr>
              <w:t>ед</w:t>
            </w:r>
            <w:proofErr w:type="spellEnd"/>
            <w:r>
              <w:rPr>
                <w:rFonts w:ascii="Times New Roman" w:hAnsi="Times New Roman" w:cs="Times New Roman"/>
                <w:sz w:val="24"/>
                <w:szCs w:val="24"/>
              </w:rPr>
              <w:t xml:space="preserve">; </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-доля подведомственных учреждений имеющих собственные сайты в сети Интернет;</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2015 г. – 9%; 2016 г. – 9%; 2017 г. – 9%;</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-поэтапное внедрение компьютерных технологий в деятельность библиотек в том числе:</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-предоставление доступа к справочно-поисковому аппарату библиотек, базам данных.</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обновляемость</w:t>
            </w:r>
            <w:proofErr w:type="spellEnd"/>
            <w:r>
              <w:rPr>
                <w:rFonts w:ascii="Times New Roman" w:hAnsi="Times New Roman" w:cs="Times New Roman"/>
                <w:sz w:val="24"/>
                <w:szCs w:val="24"/>
              </w:rPr>
              <w:t xml:space="preserve"> фонда библиотек , 2015 - 1,0%, 2016 г. - 1,1 %, 2017 г. - 1,1 %;</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-обеспечение 100% уровня систематизации и каталогизации библиотечного фонда;</w:t>
            </w:r>
          </w:p>
          <w:p w:rsidR="00BE44FE" w:rsidRDefault="00BE44FE" w:rsidP="00BE44FE">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-динамика снижения потребления по всем видам топливно-энергетических ресурсов составит не менее 3% за год;</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p>
        </w:tc>
      </w:tr>
    </w:tbl>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1.Характеристика текущего состояния отрасли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«Культура Гордеевского муниципального района» </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Учредителем учреждений культуры является муниципальное образование «Гордеевский муниципальный район». Функции и полномочия учредителя осуществляет администрация Гордеевского муниципального района, которая является главным распорядителем бюджетных средств.</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Сеть учреждений культуры Гордеевского муниципального района в настоящее время представляет собой:</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МБУК «Гордеевский культурно- досуговый центр» со структурными подразделениями: </w:t>
      </w:r>
      <w:proofErr w:type="gramStart"/>
      <w:r>
        <w:rPr>
          <w:rFonts w:ascii="Times New Roman" w:hAnsi="Times New Roman" w:cs="Times New Roman"/>
          <w:sz w:val="24"/>
          <w:szCs w:val="24"/>
        </w:rPr>
        <w:t>( Рудня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Воробьевский</w:t>
      </w:r>
      <w:proofErr w:type="spellEnd"/>
      <w:r>
        <w:rPr>
          <w:rFonts w:ascii="Times New Roman" w:hAnsi="Times New Roman" w:cs="Times New Roman"/>
          <w:sz w:val="24"/>
          <w:szCs w:val="24"/>
        </w:rPr>
        <w:t xml:space="preserve"> СДК,  Петрово-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Глинновский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Казаричский</w:t>
      </w:r>
      <w:proofErr w:type="spellEnd"/>
      <w:r>
        <w:rPr>
          <w:rFonts w:ascii="Times New Roman" w:hAnsi="Times New Roman" w:cs="Times New Roman"/>
          <w:sz w:val="24"/>
          <w:szCs w:val="24"/>
        </w:rPr>
        <w:t xml:space="preserve"> СДК, Кузнецкий с/к, </w:t>
      </w:r>
      <w:proofErr w:type="spellStart"/>
      <w:r>
        <w:rPr>
          <w:rFonts w:ascii="Times New Roman" w:hAnsi="Times New Roman" w:cs="Times New Roman"/>
          <w:sz w:val="24"/>
          <w:szCs w:val="24"/>
        </w:rPr>
        <w:t>Мирнинский</w:t>
      </w:r>
      <w:proofErr w:type="spellEnd"/>
      <w:r>
        <w:rPr>
          <w:rFonts w:ascii="Times New Roman" w:hAnsi="Times New Roman" w:cs="Times New Roman"/>
          <w:sz w:val="24"/>
          <w:szCs w:val="24"/>
        </w:rPr>
        <w:t xml:space="preserve"> ДК, </w:t>
      </w:r>
      <w:proofErr w:type="spellStart"/>
      <w:r>
        <w:rPr>
          <w:rFonts w:ascii="Times New Roman" w:hAnsi="Times New Roman" w:cs="Times New Roman"/>
          <w:sz w:val="24"/>
          <w:szCs w:val="24"/>
        </w:rPr>
        <w:t>Стругово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Творишинский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Уношевский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Ямновский</w:t>
      </w:r>
      <w:proofErr w:type="spellEnd"/>
      <w:r>
        <w:rPr>
          <w:rFonts w:ascii="Times New Roman" w:hAnsi="Times New Roman" w:cs="Times New Roman"/>
          <w:sz w:val="24"/>
          <w:szCs w:val="24"/>
        </w:rPr>
        <w:t xml:space="preserve"> с/к, </w:t>
      </w:r>
      <w:proofErr w:type="spellStart"/>
      <w:r>
        <w:rPr>
          <w:rFonts w:ascii="Times New Roman" w:hAnsi="Times New Roman" w:cs="Times New Roman"/>
          <w:sz w:val="24"/>
          <w:szCs w:val="24"/>
        </w:rPr>
        <w:t>Староновицкий</w:t>
      </w:r>
      <w:proofErr w:type="spellEnd"/>
      <w:r>
        <w:rPr>
          <w:rFonts w:ascii="Times New Roman" w:hAnsi="Times New Roman" w:cs="Times New Roman"/>
          <w:sz w:val="24"/>
          <w:szCs w:val="24"/>
        </w:rPr>
        <w:t xml:space="preserve"> с/к., Гордеевский ДК)</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Гордеевская</w:t>
      </w:r>
      <w:proofErr w:type="spellEnd"/>
      <w:r>
        <w:rPr>
          <w:rFonts w:ascii="Times New Roman" w:hAnsi="Times New Roman" w:cs="Times New Roman"/>
          <w:sz w:val="24"/>
          <w:szCs w:val="24"/>
        </w:rPr>
        <w:t xml:space="preserve">  центральная</w:t>
      </w:r>
      <w:proofErr w:type="gramEnd"/>
      <w:r>
        <w:rPr>
          <w:rFonts w:ascii="Times New Roman" w:hAnsi="Times New Roman" w:cs="Times New Roman"/>
          <w:sz w:val="24"/>
          <w:szCs w:val="24"/>
        </w:rPr>
        <w:t xml:space="preserve"> библиотека » со структурными подразделениями: (Детская библиотека ;</w:t>
      </w:r>
      <w:proofErr w:type="spellStart"/>
      <w:r>
        <w:rPr>
          <w:rFonts w:ascii="Times New Roman" w:hAnsi="Times New Roman" w:cs="Times New Roman"/>
          <w:sz w:val="24"/>
          <w:szCs w:val="24"/>
        </w:rPr>
        <w:t>Мирнинская</w:t>
      </w:r>
      <w:proofErr w:type="spellEnd"/>
      <w:r>
        <w:rPr>
          <w:rFonts w:ascii="Times New Roman" w:hAnsi="Times New Roman" w:cs="Times New Roman"/>
          <w:sz w:val="24"/>
          <w:szCs w:val="24"/>
        </w:rPr>
        <w:t xml:space="preserve"> поселковая библиотека, </w:t>
      </w:r>
      <w:proofErr w:type="spellStart"/>
      <w:r>
        <w:rPr>
          <w:rFonts w:ascii="Times New Roman" w:hAnsi="Times New Roman" w:cs="Times New Roman"/>
          <w:sz w:val="24"/>
          <w:szCs w:val="24"/>
        </w:rPr>
        <w:t>Уношевская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Творишинская</w:t>
      </w:r>
      <w:proofErr w:type="spellEnd"/>
      <w:r>
        <w:rPr>
          <w:rFonts w:ascii="Times New Roman" w:hAnsi="Times New Roman" w:cs="Times New Roman"/>
          <w:sz w:val="24"/>
          <w:szCs w:val="24"/>
        </w:rPr>
        <w:t xml:space="preserve"> сельская </w:t>
      </w:r>
      <w:proofErr w:type="spellStart"/>
      <w:r>
        <w:rPr>
          <w:rFonts w:ascii="Times New Roman" w:hAnsi="Times New Roman" w:cs="Times New Roman"/>
          <w:sz w:val="24"/>
          <w:szCs w:val="24"/>
        </w:rPr>
        <w:t>библиотека;Стругово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w:t>
      </w:r>
      <w:proofErr w:type="spellStart"/>
      <w:r>
        <w:rPr>
          <w:rFonts w:ascii="Times New Roman" w:hAnsi="Times New Roman" w:cs="Times New Roman"/>
          <w:sz w:val="24"/>
          <w:szCs w:val="24"/>
        </w:rPr>
        <w:t>билиотека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Староновицкая</w:t>
      </w:r>
      <w:proofErr w:type="spellEnd"/>
      <w:r>
        <w:rPr>
          <w:rFonts w:ascii="Times New Roman" w:hAnsi="Times New Roman" w:cs="Times New Roman"/>
          <w:sz w:val="24"/>
          <w:szCs w:val="24"/>
        </w:rPr>
        <w:t xml:space="preserve"> сельская </w:t>
      </w:r>
      <w:proofErr w:type="spellStart"/>
      <w:r>
        <w:rPr>
          <w:rFonts w:ascii="Times New Roman" w:hAnsi="Times New Roman" w:cs="Times New Roman"/>
          <w:sz w:val="24"/>
          <w:szCs w:val="24"/>
        </w:rPr>
        <w:t>библиотека;Рудня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Воробьевская</w:t>
      </w:r>
      <w:proofErr w:type="spellEnd"/>
      <w:r>
        <w:rPr>
          <w:rFonts w:ascii="Times New Roman" w:hAnsi="Times New Roman" w:cs="Times New Roman"/>
          <w:sz w:val="24"/>
          <w:szCs w:val="24"/>
        </w:rPr>
        <w:t xml:space="preserve"> сельская библиотека;  Петрово-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Ямновская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Казаричская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Глинновская</w:t>
      </w:r>
      <w:proofErr w:type="spellEnd"/>
      <w:r>
        <w:rPr>
          <w:rFonts w:ascii="Times New Roman" w:hAnsi="Times New Roman" w:cs="Times New Roman"/>
          <w:sz w:val="24"/>
          <w:szCs w:val="24"/>
        </w:rPr>
        <w:t xml:space="preserve"> сельская библиотека;  );</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Негативные тенденции кризисных процессов, происходивших в этот период и серьезно отразившихся на всех отраслях экономики, способствовали консолидации усилий органов муниципальной власти и местного самоуправления по сохранению и развитию всей эффективно работающей сети учреждений культуры района.</w:t>
      </w:r>
    </w:p>
    <w:p w:rsidR="00BE44FE" w:rsidRDefault="00BE44FE" w:rsidP="00BE44FE">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В рамках</w:t>
      </w:r>
      <w:proofErr w:type="gramEnd"/>
      <w:r>
        <w:rPr>
          <w:rFonts w:ascii="Times New Roman" w:hAnsi="Times New Roman" w:cs="Times New Roman"/>
          <w:sz w:val="24"/>
          <w:szCs w:val="24"/>
        </w:rPr>
        <w:t xml:space="preserve"> проводимых в этот период реформ в отрасли культуры завершена крупномасштабная работа по оптимизации сети и численности работников отрасли.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За 2012 - 2015 годы штатная численность работников муниципальных учреждений культуры сократилась на 14,5 единиц. При этом экономия бюджетных средств составила 1,0 млн. рублей.</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 2010 года заработная плата работникам муниципальных учреждений культуры формируется на основании отраслевой системы оплаты труда работников культуры, что позволило в среднем повысить заработную плату на 15 , 3%.</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настоящий момент 100% муниципальных учреждений сферы культуры работают в форме муниципальных бюджетных учреждений культуры.  .</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последние годы ведется серьезная работа по укреплению кадрового потенциала учреждений культуры.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Результатами проведенных реформ и эффективной работы учреждений культуры в отрасли стали: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увеличение доходов учреждений культуры от предпринимательской и иной приносящей доход деятельности;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стабильный рост посещаемости массовых культурно-досуговых мероприятий, сохранение численности посещений библиотек Гордеевского  района. </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Основные показатели, характеризующие состояние развития отрасли культуры Гордеевского </w:t>
      </w:r>
      <w:proofErr w:type="gramStart"/>
      <w:r>
        <w:rPr>
          <w:rFonts w:ascii="Times New Roman" w:hAnsi="Times New Roman" w:cs="Times New Roman"/>
          <w:sz w:val="24"/>
          <w:szCs w:val="24"/>
        </w:rPr>
        <w:t>района ,</w:t>
      </w:r>
      <w:proofErr w:type="gramEnd"/>
      <w:r>
        <w:rPr>
          <w:rFonts w:ascii="Times New Roman" w:hAnsi="Times New Roman" w:cs="Times New Roman"/>
          <w:sz w:val="24"/>
          <w:szCs w:val="24"/>
        </w:rPr>
        <w:t xml:space="preserve"> приведены в таблице 1</w:t>
      </w:r>
    </w:p>
    <w:p w:rsidR="00BE44FE" w:rsidRDefault="00BE44FE" w:rsidP="00BE44FE">
      <w:pPr>
        <w:suppressLineNumbers/>
        <w:autoSpaceDE w:val="0"/>
        <w:autoSpaceDN w:val="0"/>
        <w:adjustRightInd w:val="0"/>
        <w:spacing w:before="0" w:line="240" w:lineRule="auto"/>
        <w:ind w:left="0" w:firstLine="709"/>
        <w:rPr>
          <w:rFonts w:ascii="Times New Roman" w:hAnsi="Times New Roman" w:cs="Times New Roman"/>
          <w:sz w:val="24"/>
          <w:szCs w:val="24"/>
        </w:rPr>
      </w:pPr>
    </w:p>
    <w:p w:rsidR="00BE44FE" w:rsidRDefault="00BE44FE" w:rsidP="00BE44FE">
      <w:pPr>
        <w:suppressLineNumbers/>
        <w:autoSpaceDE w:val="0"/>
        <w:autoSpaceDN w:val="0"/>
        <w:adjustRightInd w:val="0"/>
        <w:spacing w:before="0" w:line="240" w:lineRule="auto"/>
        <w:ind w:left="0" w:firstLine="709"/>
        <w:rPr>
          <w:rFonts w:ascii="Times New Roman" w:hAnsi="Times New Roman" w:cs="Times New Roman"/>
          <w:sz w:val="24"/>
          <w:szCs w:val="24"/>
        </w:rPr>
      </w:pPr>
    </w:p>
    <w:p w:rsidR="00BE44FE" w:rsidRDefault="00BE44FE" w:rsidP="00BE44FE">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Таблица 1</w:t>
      </w:r>
    </w:p>
    <w:tbl>
      <w:tblPr>
        <w:tblW w:w="9855" w:type="dxa"/>
        <w:tblInd w:w="70" w:type="dxa"/>
        <w:tblLayout w:type="fixed"/>
        <w:tblCellMar>
          <w:left w:w="70" w:type="dxa"/>
          <w:right w:w="70" w:type="dxa"/>
        </w:tblCellMar>
        <w:tblLook w:val="04A0" w:firstRow="1" w:lastRow="0" w:firstColumn="1" w:lastColumn="0" w:noHBand="0" w:noVBand="1"/>
      </w:tblPr>
      <w:tblGrid>
        <w:gridCol w:w="4995"/>
        <w:gridCol w:w="1215"/>
        <w:gridCol w:w="1215"/>
        <w:gridCol w:w="1215"/>
        <w:gridCol w:w="1215"/>
      </w:tblGrid>
      <w:tr w:rsidR="00BE44FE" w:rsidTr="00BE44FE">
        <w:trPr>
          <w:cantSplit/>
          <w:trHeight w:val="360"/>
        </w:trPr>
        <w:tc>
          <w:tcPr>
            <w:tcW w:w="499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Ед. изм.</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2015 г. (факт.)</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2016 г. план</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2017 г. план</w:t>
            </w:r>
          </w:p>
        </w:tc>
      </w:tr>
      <w:tr w:rsidR="00BE44FE" w:rsidTr="00BE44FE">
        <w:trPr>
          <w:cantSplit/>
          <w:trHeight w:val="720"/>
        </w:trPr>
        <w:tc>
          <w:tcPr>
            <w:tcW w:w="499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Организация и проведение обучающих семинаров, мастер-классов, стажировок, практикумов, консультаций, курсов повышения квалификации</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чел.</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75</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79</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90</w:t>
            </w:r>
          </w:p>
        </w:tc>
      </w:tr>
      <w:tr w:rsidR="00BE44FE" w:rsidTr="00BE44FE">
        <w:trPr>
          <w:cantSplit/>
          <w:trHeight w:val="360"/>
        </w:trPr>
        <w:tc>
          <w:tcPr>
            <w:tcW w:w="499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Организация и проведение культурно-досуговых мероприятий</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тыс. ед.</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3100</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3100</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3100</w:t>
            </w:r>
          </w:p>
        </w:tc>
      </w:tr>
      <w:tr w:rsidR="00BE44FE" w:rsidTr="00BE44FE">
        <w:trPr>
          <w:cantSplit/>
          <w:trHeight w:val="360"/>
        </w:trPr>
        <w:tc>
          <w:tcPr>
            <w:tcW w:w="4995" w:type="dxa"/>
            <w:tcBorders>
              <w:top w:val="single" w:sz="6" w:space="0" w:color="auto"/>
              <w:left w:val="single" w:sz="6" w:space="0" w:color="auto"/>
              <w:bottom w:val="single" w:sz="6" w:space="0" w:color="auto"/>
              <w:right w:val="single" w:sz="6" w:space="0" w:color="auto"/>
            </w:tcBorders>
            <w:vAlign w:val="center"/>
          </w:tcPr>
          <w:p w:rsidR="00BE44FE" w:rsidRDefault="00BE44FE" w:rsidP="00BE44FE">
            <w:pPr>
              <w:spacing w:before="0" w:line="240" w:lineRule="auto"/>
              <w:ind w:left="0" w:firstLine="0"/>
              <w:jc w:val="left"/>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vAlign w:val="center"/>
          </w:tcPr>
          <w:p w:rsidR="00BE44FE" w:rsidRDefault="00BE44FE" w:rsidP="00BE44FE">
            <w:pPr>
              <w:spacing w:before="0" w:line="240" w:lineRule="auto"/>
              <w:ind w:left="0" w:firstLine="0"/>
              <w:jc w:val="center"/>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vAlign w:val="center"/>
          </w:tcPr>
          <w:p w:rsidR="00BE44FE" w:rsidRDefault="00BE44FE" w:rsidP="00BE44FE">
            <w:pPr>
              <w:spacing w:before="0" w:line="240" w:lineRule="auto"/>
              <w:ind w:left="0" w:firstLine="0"/>
              <w:jc w:val="center"/>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vAlign w:val="center"/>
          </w:tcPr>
          <w:p w:rsidR="00BE44FE" w:rsidRDefault="00BE44FE" w:rsidP="00BE44FE">
            <w:pPr>
              <w:spacing w:before="0" w:line="240" w:lineRule="auto"/>
              <w:ind w:left="0"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vAlign w:val="center"/>
          </w:tcPr>
          <w:p w:rsidR="00BE44FE" w:rsidRDefault="00BE44FE" w:rsidP="00BE44FE">
            <w:pPr>
              <w:spacing w:before="0" w:line="240" w:lineRule="auto"/>
              <w:ind w:left="0" w:firstLine="0"/>
              <w:rPr>
                <w:rFonts w:ascii="Times New Roman" w:hAnsi="Times New Roman" w:cs="Times New Roman"/>
                <w:sz w:val="22"/>
                <w:szCs w:val="22"/>
              </w:rPr>
            </w:pPr>
          </w:p>
        </w:tc>
      </w:tr>
      <w:tr w:rsidR="00BE44FE" w:rsidTr="00BE44FE">
        <w:trPr>
          <w:cantSplit/>
          <w:trHeight w:val="480"/>
        </w:trPr>
        <w:tc>
          <w:tcPr>
            <w:tcW w:w="499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Сохранение посещаемости библиотек Гордеевского района к предыдущему периоду</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rPr>
                <w:rFonts w:ascii="Times New Roman" w:hAnsi="Times New Roman" w:cs="Times New Roman"/>
                <w:sz w:val="22"/>
                <w:szCs w:val="22"/>
              </w:rPr>
            </w:pPr>
            <w:r>
              <w:rPr>
                <w:rFonts w:ascii="Times New Roman" w:hAnsi="Times New Roman" w:cs="Times New Roman"/>
                <w:sz w:val="22"/>
                <w:szCs w:val="22"/>
              </w:rPr>
              <w:t>100%</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BE44FE" w:rsidTr="00BE44FE">
        <w:trPr>
          <w:cantSplit/>
          <w:trHeight w:val="1200"/>
        </w:trPr>
        <w:tc>
          <w:tcPr>
            <w:tcW w:w="499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или поселках городского типа на территории Гордеевского района</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чел.</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25</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25</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25</w:t>
            </w:r>
          </w:p>
        </w:tc>
      </w:tr>
      <w:tr w:rsidR="00BE44FE" w:rsidTr="00BE44FE">
        <w:trPr>
          <w:cantSplit/>
          <w:trHeight w:val="360"/>
        </w:trPr>
        <w:tc>
          <w:tcPr>
            <w:tcW w:w="499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left"/>
              <w:rPr>
                <w:rFonts w:ascii="Times New Roman" w:hAnsi="Times New Roman" w:cs="Times New Roman"/>
                <w:sz w:val="22"/>
                <w:szCs w:val="22"/>
              </w:rPr>
            </w:pPr>
            <w:proofErr w:type="spellStart"/>
            <w:r>
              <w:rPr>
                <w:rFonts w:ascii="Times New Roman" w:hAnsi="Times New Roman" w:cs="Times New Roman"/>
                <w:sz w:val="22"/>
                <w:szCs w:val="22"/>
              </w:rPr>
              <w:t>Обновляемость</w:t>
            </w:r>
            <w:proofErr w:type="spellEnd"/>
            <w:r>
              <w:rPr>
                <w:rFonts w:ascii="Times New Roman" w:hAnsi="Times New Roman" w:cs="Times New Roman"/>
                <w:sz w:val="22"/>
                <w:szCs w:val="22"/>
              </w:rPr>
              <w:t xml:space="preserve"> книжных фондов библиотек</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0,4</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w:t>
            </w:r>
          </w:p>
        </w:tc>
      </w:tr>
      <w:tr w:rsidR="00BE44FE" w:rsidTr="00BE44FE">
        <w:trPr>
          <w:cantSplit/>
          <w:trHeight w:val="600"/>
        </w:trPr>
        <w:tc>
          <w:tcPr>
            <w:tcW w:w="499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Удельный вес общедоступных (публичных) библиотек, оснащенных компьютерной техникой и программным обеспечением</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10,5</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10,5</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10,5</w:t>
            </w:r>
          </w:p>
        </w:tc>
      </w:tr>
      <w:tr w:rsidR="00BE44FE" w:rsidTr="00BE44FE">
        <w:trPr>
          <w:cantSplit/>
          <w:trHeight w:val="720"/>
        </w:trPr>
        <w:tc>
          <w:tcPr>
            <w:tcW w:w="499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Количество посетителей культурно-досуговых мероприятий, проводимых муниципальными учреждениями культуры</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чел.</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149018</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rPr>
                <w:rFonts w:ascii="Times New Roman" w:hAnsi="Times New Roman" w:cs="Times New Roman"/>
                <w:sz w:val="22"/>
                <w:szCs w:val="22"/>
              </w:rPr>
            </w:pPr>
            <w:r>
              <w:rPr>
                <w:rFonts w:ascii="Times New Roman" w:hAnsi="Times New Roman" w:cs="Times New Roman"/>
                <w:sz w:val="22"/>
                <w:szCs w:val="22"/>
              </w:rPr>
              <w:t>149018</w:t>
            </w:r>
          </w:p>
        </w:tc>
        <w:tc>
          <w:tcPr>
            <w:tcW w:w="1215" w:type="dxa"/>
            <w:tcBorders>
              <w:top w:val="single" w:sz="6" w:space="0" w:color="auto"/>
              <w:left w:val="single" w:sz="6" w:space="0" w:color="auto"/>
              <w:bottom w:val="single" w:sz="6" w:space="0" w:color="auto"/>
              <w:right w:val="single" w:sz="6" w:space="0" w:color="auto"/>
            </w:tcBorders>
            <w:vAlign w:val="center"/>
            <w:hideMark/>
          </w:tcPr>
          <w:p w:rsidR="00BE44FE" w:rsidRDefault="00BE44FE" w:rsidP="00BE44FE">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149018</w:t>
            </w:r>
          </w:p>
        </w:tc>
      </w:tr>
    </w:tbl>
    <w:p w:rsidR="00BE44FE" w:rsidRDefault="00BE44FE" w:rsidP="00BE44FE">
      <w:pPr>
        <w:spacing w:before="0" w:line="360" w:lineRule="auto"/>
        <w:ind w:left="0" w:firstLine="0"/>
        <w:rPr>
          <w:rFonts w:ascii="Times New Roman" w:hAnsi="Times New Roman" w:cs="Times New Roman"/>
          <w:sz w:val="24"/>
          <w:szCs w:val="24"/>
        </w:rPr>
      </w:pP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Сеть культурно-досуговых учреждений имеет тенденцию к сокращению. Вместе с тем сохранена система организации и проведения смотров, конкурсов, фестивалей. Гордеевский район является одним из лидеров среди районов Брянской области в сфере изучения, сохранения и пропаганды традиций русского народного творчества.</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Накоплен и продолжает наращиваться опыт формирования системы мотивационных стимулов активизации творческой активности работников культуры, включающих в себя десятки различных областных, зональных, районных и городских 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Гордеевском муниципальном районе имеются необходимые социальные, экономические и психологические предпосылки для устранения роста негативных тенденций в сфере культуры.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2. Приоритеты и цели муниципальной политики в сфере культуры,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цели и задачи муниципальной программы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Основой для определения стратегических целей МБУК «ГКДЦ» является обеспечение гарантированных Конституцией Российской Федерации прав граждан в сфере культуры.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«Гордеевский культурно- досуговый центр» видит свою миссию в</w:t>
      </w:r>
    </w:p>
    <w:p w:rsidR="00BE44FE" w:rsidRDefault="00BE44FE" w:rsidP="00BE44FE">
      <w:pPr>
        <w:numPr>
          <w:ilvl w:val="0"/>
          <w:numId w:val="1"/>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сохранении и трансляции богатейшего культурно-исторического опыта и традиций, влияющих на ход экономических, </w:t>
      </w:r>
      <w:proofErr w:type="gramStart"/>
      <w:r>
        <w:rPr>
          <w:rFonts w:ascii="Times New Roman" w:hAnsi="Times New Roman" w:cs="Times New Roman"/>
          <w:sz w:val="24"/>
          <w:szCs w:val="24"/>
        </w:rPr>
        <w:t>правовых,  реформ</w:t>
      </w:r>
      <w:proofErr w:type="gramEnd"/>
      <w:r>
        <w:rPr>
          <w:rFonts w:ascii="Times New Roman" w:hAnsi="Times New Roman" w:cs="Times New Roman"/>
          <w:sz w:val="24"/>
          <w:szCs w:val="24"/>
        </w:rPr>
        <w:t xml:space="preserve"> региона;</w:t>
      </w:r>
    </w:p>
    <w:p w:rsidR="00BE44FE" w:rsidRDefault="00BE44FE" w:rsidP="00BE44FE">
      <w:pPr>
        <w:numPr>
          <w:ilvl w:val="0"/>
          <w:numId w:val="1"/>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формировании духовно богатого и гармонично развитого молодого поколения;</w:t>
      </w:r>
    </w:p>
    <w:p w:rsidR="00BE44FE" w:rsidRDefault="00BE44FE" w:rsidP="00BE44FE">
      <w:pPr>
        <w:numPr>
          <w:ilvl w:val="0"/>
          <w:numId w:val="1"/>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организации и оказании методической помощи органам местного самоуправления муниципальных образований района в реализации единой культурной политики на территории Гордеевского района.</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Основными стратегическими целями государственной политики в области культуры являются:</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1. Обеспечение прав граждан на доступ к культурным ценностям.</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2. Обеспечение свободы творчества и прав граждан на участие в культурной жизни.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3. Удовлетворение потребностей населения района в сфере культуры и </w:t>
      </w:r>
      <w:proofErr w:type="gramStart"/>
      <w:r>
        <w:rPr>
          <w:rFonts w:ascii="Times New Roman" w:hAnsi="Times New Roman" w:cs="Times New Roman"/>
          <w:sz w:val="24"/>
          <w:szCs w:val="24"/>
        </w:rPr>
        <w:t>искусства ,</w:t>
      </w:r>
      <w:proofErr w:type="gramEnd"/>
      <w:r>
        <w:rPr>
          <w:rFonts w:ascii="Times New Roman" w:hAnsi="Times New Roman" w:cs="Times New Roman"/>
          <w:sz w:val="24"/>
          <w:szCs w:val="24"/>
        </w:rPr>
        <w:t xml:space="preserve"> повышение привлекательности учреждений культуры для жителей и гостей района.</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1. Обеспечение прав граждан на доступ к культурным ценностям</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мировоззрения подрастающего поколения.</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музейным и библиотечным фондам, истокам русской национальной культуры, традиционной культуре Гордеевского района.</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Достижение первой стратегической цели предполагает решение двух практических задач:</w:t>
      </w:r>
    </w:p>
    <w:p w:rsidR="00BE44FE" w:rsidRDefault="00BE44FE" w:rsidP="00BE44FE">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сохранение и охрана культурного и исторического наследия Брянщины;</w:t>
      </w:r>
    </w:p>
    <w:p w:rsidR="00BE44FE" w:rsidRDefault="00BE44FE" w:rsidP="00BE44FE">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Задачи, которые решаются учреждениями культуры района при достижении первой цели (обеспечение прав граждан на доступ к культурным ценностям), направлены на главный </w:t>
      </w:r>
      <w:proofErr w:type="gramStart"/>
      <w:r>
        <w:rPr>
          <w:rFonts w:ascii="Times New Roman" w:hAnsi="Times New Roman" w:cs="Times New Roman"/>
          <w:sz w:val="24"/>
          <w:szCs w:val="24"/>
        </w:rPr>
        <w:t xml:space="preserve">результат </w:t>
      </w:r>
      <w:r>
        <w:rPr>
          <w:rFonts w:ascii="Times New Roman" w:hAnsi="Times New Roman" w:cs="Times New Roman"/>
          <w:sz w:val="24"/>
          <w:szCs w:val="24"/>
        </w:rPr>
        <w:sym w:font="Symbol" w:char="002D"/>
      </w:r>
      <w:r>
        <w:rPr>
          <w:rFonts w:ascii="Times New Roman" w:hAnsi="Times New Roman" w:cs="Times New Roman"/>
          <w:sz w:val="24"/>
          <w:szCs w:val="24"/>
        </w:rPr>
        <w:t xml:space="preserve"> это</w:t>
      </w:r>
      <w:proofErr w:type="gramEnd"/>
      <w:r>
        <w:rPr>
          <w:rFonts w:ascii="Times New Roman" w:hAnsi="Times New Roman" w:cs="Times New Roman"/>
          <w:sz w:val="24"/>
          <w:szCs w:val="24"/>
        </w:rPr>
        <w:t xml:space="preserve"> увеличение численности жителей, посещающих культурно- массовые мероприятия, исторические места Гордеевского района, включение объектов культуры в сферу туризма и сохранение нематериальных культурных ценностей, увеличение числа посещений библиотек. </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Базовым элементом государственной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транслировать культурное историческое наследие Гордеевского района для будущих поколений.</w:t>
      </w:r>
    </w:p>
    <w:p w:rsidR="00BE44FE" w:rsidRDefault="00BE44FE" w:rsidP="00BE44FE">
      <w:pPr>
        <w:spacing w:before="0" w:line="360" w:lineRule="auto"/>
        <w:ind w:left="0" w:firstLine="709"/>
        <w:rPr>
          <w:rFonts w:ascii="Times New Roman" w:hAnsi="Times New Roman" w:cs="Times New Roman"/>
          <w:sz w:val="24"/>
          <w:szCs w:val="24"/>
        </w:rPr>
      </w:pP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2. Обеспечение свободы творчества и прав граждан на участие в культурной жизни.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установленных статьей 44 Конституции Российской Федерации, федеральными, областными законами о культуре и культурной деятельности.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Достижение второй стратегической цели предполагает решение следующих практических задач:</w:t>
      </w:r>
    </w:p>
    <w:p w:rsidR="00BE44FE" w:rsidRDefault="00BE44FE" w:rsidP="00BE44FE">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сохранение и развитие творческого потенциала Гордеевского муниципального </w:t>
      </w:r>
      <w:r>
        <w:rPr>
          <w:rFonts w:ascii="Times New Roman" w:hAnsi="Times New Roman" w:cs="Times New Roman"/>
          <w:sz w:val="24"/>
          <w:szCs w:val="24"/>
        </w:rPr>
        <w:lastRenderedPageBreak/>
        <w:t>района;</w:t>
      </w:r>
    </w:p>
    <w:p w:rsidR="00BE44FE" w:rsidRDefault="00BE44FE" w:rsidP="00BE44FE">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преодоления культурной изоляции и обогащения межрегионального и межнационального диалога.</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Решение первой задачи направлено на достижение многих результатов, в числе которых приоритетными являются:</w:t>
      </w:r>
    </w:p>
    <w:p w:rsidR="00BE44FE" w:rsidRDefault="00BE44FE" w:rsidP="00BE44FE">
      <w:pPr>
        <w:numPr>
          <w:ilvl w:val="0"/>
          <w:numId w:val="4"/>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Гордеевский район по этому показателю находится практически на уровне Брянской области, а в некоторые годы даже его опережает. Это говорит о достаточно серьезном творческом потенциале жителей района и позволяет сделать вывод о перспективах улучшения качества жизни населения.</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Решение второй задачи позволит достичь главного социального </w:t>
      </w:r>
      <w:proofErr w:type="gramStart"/>
      <w:r>
        <w:rPr>
          <w:rFonts w:ascii="Times New Roman" w:hAnsi="Times New Roman" w:cs="Times New Roman"/>
          <w:sz w:val="24"/>
          <w:szCs w:val="24"/>
        </w:rPr>
        <w:t xml:space="preserve">результата </w:t>
      </w:r>
      <w:r>
        <w:rPr>
          <w:rFonts w:ascii="Times New Roman" w:hAnsi="Times New Roman" w:cs="Times New Roman"/>
          <w:sz w:val="24"/>
          <w:szCs w:val="24"/>
        </w:rPr>
        <w:sym w:font="Symbol" w:char="002D"/>
      </w:r>
      <w:r>
        <w:rPr>
          <w:rFonts w:ascii="Times New Roman" w:hAnsi="Times New Roman" w:cs="Times New Roman"/>
          <w:sz w:val="24"/>
          <w:szCs w:val="24"/>
        </w:rPr>
        <w:t xml:space="preserve"> преодоление</w:t>
      </w:r>
      <w:proofErr w:type="gramEnd"/>
      <w:r>
        <w:rPr>
          <w:rFonts w:ascii="Times New Roman" w:hAnsi="Times New Roman" w:cs="Times New Roman"/>
          <w:sz w:val="24"/>
          <w:szCs w:val="24"/>
        </w:rPr>
        <w:t xml:space="preserve"> культурной изоляции личности, вовлечение граждан в социально-культурную среду Гордеевского района ,Брянщины и России в целом.</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Здесь основными результатами являются увеличение числа клубных формирований района, количества зрителей на всех культурно-общественных акциях, проводимых на </w:t>
      </w:r>
      <w:proofErr w:type="spellStart"/>
      <w:r>
        <w:rPr>
          <w:rFonts w:ascii="Times New Roman" w:hAnsi="Times New Roman" w:cs="Times New Roman"/>
          <w:sz w:val="24"/>
          <w:szCs w:val="24"/>
        </w:rPr>
        <w:t>Брянщине</w:t>
      </w:r>
      <w:proofErr w:type="spellEnd"/>
      <w:r>
        <w:rPr>
          <w:rFonts w:ascii="Times New Roman" w:hAnsi="Times New Roman" w:cs="Times New Roman"/>
          <w:sz w:val="24"/>
          <w:szCs w:val="24"/>
        </w:rPr>
        <w:t>,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в международной политике - как инструмент политического влияния и создания позитивного образа Гордеевского района и Брянщины.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3. Сроки реализации муниципальной программы.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003E0C8F">
        <w:rPr>
          <w:rFonts w:ascii="Times New Roman" w:hAnsi="Times New Roman" w:cs="Times New Roman"/>
          <w:sz w:val="24"/>
          <w:szCs w:val="24"/>
        </w:rPr>
        <w:t xml:space="preserve"> программы осуществляется в 2015 - 2017</w:t>
      </w:r>
      <w:r>
        <w:rPr>
          <w:rFonts w:ascii="Times New Roman" w:hAnsi="Times New Roman" w:cs="Times New Roman"/>
          <w:sz w:val="24"/>
          <w:szCs w:val="24"/>
        </w:rPr>
        <w:t xml:space="preserve"> годах.</w:t>
      </w:r>
    </w:p>
    <w:p w:rsidR="00BE44FE" w:rsidRDefault="00BE44FE" w:rsidP="00BE44FE">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sz w:val="24"/>
          <w:szCs w:val="24"/>
        </w:rPr>
        <w:t>4. Ресурсное обеспечение реализации муниципальной программы.</w:t>
      </w:r>
      <w:r w:rsidRPr="00436F3B">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 xml:space="preserve">Общая сумма затрат учреждений культуры и </w:t>
      </w:r>
    </w:p>
    <w:p w:rsidR="00F17F54" w:rsidRDefault="003E0C8F" w:rsidP="00F17F54">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w:t>
      </w:r>
      <w:r w:rsidR="00BE44FE">
        <w:rPr>
          <w:rFonts w:ascii="Times New Roman" w:hAnsi="Times New Roman" w:cs="Times New Roman"/>
          <w:b w:val="0"/>
          <w:bCs w:val="0"/>
          <w:i w:val="0"/>
          <w:iCs w:val="0"/>
          <w:sz w:val="24"/>
          <w:szCs w:val="24"/>
        </w:rPr>
        <w:t>оставляет</w:t>
      </w:r>
      <w:r>
        <w:rPr>
          <w:rFonts w:ascii="Times New Roman" w:hAnsi="Times New Roman" w:cs="Times New Roman"/>
          <w:b w:val="0"/>
          <w:bCs w:val="0"/>
          <w:i w:val="0"/>
          <w:iCs w:val="0"/>
          <w:sz w:val="24"/>
          <w:szCs w:val="24"/>
        </w:rPr>
        <w:t xml:space="preserve"> </w:t>
      </w:r>
      <w:r w:rsidR="00F17F54">
        <w:rPr>
          <w:rFonts w:ascii="Times New Roman" w:hAnsi="Times New Roman" w:cs="Times New Roman"/>
          <w:sz w:val="24"/>
          <w:szCs w:val="24"/>
        </w:rPr>
        <w:t>34003875рублей</w:t>
      </w:r>
      <w:r w:rsidR="00F17F54">
        <w:rPr>
          <w:rFonts w:ascii="Times New Roman" w:hAnsi="Times New Roman" w:cs="Times New Roman"/>
          <w:bCs w:val="0"/>
          <w:i w:val="0"/>
          <w:iCs w:val="0"/>
          <w:sz w:val="24"/>
          <w:szCs w:val="24"/>
        </w:rPr>
        <w:t xml:space="preserve"> </w:t>
      </w:r>
      <w:r w:rsidR="00F17F54">
        <w:rPr>
          <w:rFonts w:ascii="Times New Roman" w:hAnsi="Times New Roman" w:cs="Times New Roman"/>
          <w:b w:val="0"/>
          <w:bCs w:val="0"/>
          <w:i w:val="0"/>
          <w:iCs w:val="0"/>
          <w:sz w:val="24"/>
          <w:szCs w:val="24"/>
        </w:rPr>
        <w:t xml:space="preserve"> из них:</w:t>
      </w:r>
    </w:p>
    <w:p w:rsidR="00F17F54" w:rsidRDefault="00F17F54" w:rsidP="00F17F54">
      <w:pPr>
        <w:spacing w:before="0" w:line="360" w:lineRule="auto"/>
        <w:ind w:left="0" w:firstLine="54"/>
        <w:rPr>
          <w:rFonts w:ascii="Times New Roman" w:hAnsi="Times New Roman" w:cs="Times New Roman"/>
          <w:sz w:val="24"/>
          <w:szCs w:val="24"/>
        </w:rPr>
      </w:pPr>
      <w:r>
        <w:rPr>
          <w:rFonts w:ascii="Times New Roman" w:hAnsi="Times New Roman" w:cs="Times New Roman"/>
          <w:sz w:val="24"/>
          <w:szCs w:val="24"/>
        </w:rPr>
        <w:t xml:space="preserve"> 2015 год - 11784755 руб.;</w:t>
      </w:r>
    </w:p>
    <w:p w:rsidR="00F17F54" w:rsidRDefault="00F17F54" w:rsidP="00F17F54">
      <w:pPr>
        <w:spacing w:before="0" w:line="360" w:lineRule="auto"/>
        <w:ind w:left="0" w:firstLine="54"/>
        <w:rPr>
          <w:rFonts w:ascii="Times New Roman" w:hAnsi="Times New Roman" w:cs="Times New Roman"/>
          <w:sz w:val="24"/>
          <w:szCs w:val="24"/>
        </w:rPr>
      </w:pPr>
      <w:r>
        <w:rPr>
          <w:rFonts w:ascii="Times New Roman" w:hAnsi="Times New Roman" w:cs="Times New Roman"/>
          <w:sz w:val="24"/>
          <w:szCs w:val="24"/>
        </w:rPr>
        <w:t xml:space="preserve"> 2016 год -  11109560руб.;</w:t>
      </w:r>
    </w:p>
    <w:p w:rsidR="00F17F54" w:rsidRDefault="00F17F54" w:rsidP="00F17F54">
      <w:pPr>
        <w:spacing w:before="0" w:line="360" w:lineRule="auto"/>
        <w:ind w:left="0" w:firstLine="54"/>
        <w:rPr>
          <w:rFonts w:ascii="Times New Roman" w:hAnsi="Times New Roman" w:cs="Times New Roman"/>
          <w:sz w:val="24"/>
          <w:szCs w:val="24"/>
        </w:rPr>
      </w:pPr>
      <w:r>
        <w:rPr>
          <w:rFonts w:ascii="Times New Roman" w:hAnsi="Times New Roman" w:cs="Times New Roman"/>
          <w:sz w:val="24"/>
          <w:szCs w:val="24"/>
        </w:rPr>
        <w:t xml:space="preserve"> 2017 год - 11109560руб.;</w:t>
      </w:r>
    </w:p>
    <w:p w:rsidR="00BE44FE" w:rsidRDefault="00BE44FE" w:rsidP="00BE44FE">
      <w:pPr>
        <w:pStyle w:val="a6"/>
        <w:spacing w:line="240" w:lineRule="auto"/>
        <w:ind w:firstLine="54"/>
        <w:jc w:val="both"/>
        <w:rPr>
          <w:rFonts w:ascii="Times New Roman" w:hAnsi="Times New Roman" w:cs="Times New Roman"/>
          <w:b w:val="0"/>
          <w:bCs w:val="0"/>
          <w:i w:val="0"/>
          <w:iCs w:val="0"/>
          <w:sz w:val="24"/>
          <w:szCs w:val="24"/>
        </w:rPr>
      </w:pPr>
    </w:p>
    <w:p w:rsidR="00BE44FE" w:rsidRDefault="00BE44FE" w:rsidP="00F17F54">
      <w:pPr>
        <w:spacing w:before="0" w:line="360" w:lineRule="auto"/>
        <w:ind w:left="0" w:firstLine="0"/>
        <w:rPr>
          <w:rFonts w:ascii="Times New Roman" w:hAnsi="Times New Roman" w:cs="Times New Roman"/>
          <w:sz w:val="24"/>
          <w:szCs w:val="24"/>
        </w:rPr>
      </w:pPr>
      <w:r>
        <w:rPr>
          <w:rFonts w:ascii="Times New Roman" w:hAnsi="Times New Roman" w:cs="Times New Roman"/>
          <w:sz w:val="24"/>
          <w:szCs w:val="24"/>
        </w:rPr>
        <w:t>5. Основные меры правового регулирования, направленные</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на достижение целей и решение задач муниципальной программы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Основные нормативные правовые документы, направленные на достижение целей и решение задач муниципальной программы: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Закон Российской Федерации от 15 апреля 1993 года N 4804-1 "О вывозе и ввозе культурных ценностей";</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Федеральные законы от 26 мая 1996 года N 54-ФЗ "О Музейном фонде Российской Федерации и музеях в Российской Федерации", от 29 декабря 1994 года N 78-ФЗ "О </w:t>
      </w:r>
      <w:r>
        <w:rPr>
          <w:rFonts w:ascii="Times New Roman" w:hAnsi="Times New Roman" w:cs="Times New Roman"/>
          <w:sz w:val="24"/>
          <w:szCs w:val="24"/>
        </w:rPr>
        <w:lastRenderedPageBreak/>
        <w:t>библиотечном деле",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Законы Брянской области от 7 апреля 1999 года N 23-З "О культурной деятельности на территории Брянской области", от 11 октября 2006 года N 90-З "О библиотечном деле в Брянской области", ", от 8 февраля 2006 года N 11-З "Об объектах культурного наследия (памятниках истории и культуры) в Брянской области", об областном бюджете на очередной финансовый год и на плановый период;</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w:t>
      </w:r>
      <w:r w:rsidR="003E0C8F">
        <w:rPr>
          <w:rFonts w:ascii="Times New Roman" w:hAnsi="Times New Roman" w:cs="Times New Roman"/>
          <w:sz w:val="24"/>
          <w:szCs w:val="24"/>
        </w:rPr>
        <w:t>туры Гордеевского района на 2015 - 2017</w:t>
      </w:r>
      <w:r>
        <w:rPr>
          <w:rFonts w:ascii="Times New Roman" w:hAnsi="Times New Roman" w:cs="Times New Roman"/>
          <w:sz w:val="24"/>
          <w:szCs w:val="24"/>
        </w:rPr>
        <w:t xml:space="preserve"> г.г.» в связи с изменением объемов бюджетных ассигнований, уточнением перечня мероприятий и показателей результативности.</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6. Состав муниципальной программы </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культуры Гордеевского мун</w:t>
      </w:r>
      <w:r w:rsidR="003E0C8F">
        <w:rPr>
          <w:rFonts w:ascii="Times New Roman" w:hAnsi="Times New Roman" w:cs="Times New Roman"/>
          <w:sz w:val="24"/>
          <w:szCs w:val="24"/>
        </w:rPr>
        <w:t>иципального района на 2015-2017</w:t>
      </w:r>
      <w:r>
        <w:rPr>
          <w:rFonts w:ascii="Times New Roman" w:hAnsi="Times New Roman" w:cs="Times New Roman"/>
          <w:sz w:val="24"/>
          <w:szCs w:val="24"/>
        </w:rPr>
        <w:t xml:space="preserve"> годы» призвана содействовать обеспечению устойчивого развития социально-культурных составляющих качества жизни населения Гордеевского района при сохранении историко-культурной среды, приумножении творческого потенциала </w:t>
      </w:r>
      <w:proofErr w:type="spellStart"/>
      <w:r>
        <w:rPr>
          <w:rFonts w:ascii="Times New Roman" w:hAnsi="Times New Roman" w:cs="Times New Roman"/>
          <w:sz w:val="24"/>
          <w:szCs w:val="24"/>
        </w:rPr>
        <w:t>Гордеевцев</w:t>
      </w:r>
      <w:proofErr w:type="spellEnd"/>
      <w:r>
        <w:rPr>
          <w:rFonts w:ascii="Times New Roman" w:hAnsi="Times New Roman" w:cs="Times New Roman"/>
          <w:sz w:val="24"/>
          <w:szCs w:val="24"/>
        </w:rPr>
        <w:t xml:space="preserve">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следующие основные направления:</w:t>
      </w:r>
    </w:p>
    <w:p w:rsidR="00BE44FE" w:rsidRDefault="00BE44FE" w:rsidP="00BE44FE">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проведению капитальных и текущих ремонтов учреждений культуры;</w:t>
      </w:r>
    </w:p>
    <w:p w:rsidR="00BE44FE" w:rsidRDefault="00BE44FE" w:rsidP="00BE44FE">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-мероприятия по энергосбережению в учреждениях культуры </w:t>
      </w:r>
      <w:proofErr w:type="gramStart"/>
      <w:r>
        <w:rPr>
          <w:rFonts w:ascii="Times New Roman" w:hAnsi="Times New Roman" w:cs="Times New Roman"/>
          <w:sz w:val="24"/>
          <w:szCs w:val="24"/>
        </w:rPr>
        <w:t>и ;</w:t>
      </w:r>
      <w:proofErr w:type="gramEnd"/>
    </w:p>
    <w:p w:rsidR="00BE44FE" w:rsidRDefault="00BE44FE" w:rsidP="00BE44FE">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-мероприятия по обеспечению пожарной безопасности учреждений </w:t>
      </w:r>
      <w:proofErr w:type="gramStart"/>
      <w:r>
        <w:rPr>
          <w:rFonts w:ascii="Times New Roman" w:hAnsi="Times New Roman" w:cs="Times New Roman"/>
          <w:sz w:val="24"/>
          <w:szCs w:val="24"/>
        </w:rPr>
        <w:t>культуры ;</w:t>
      </w:r>
      <w:proofErr w:type="gramEnd"/>
    </w:p>
    <w:p w:rsidR="00BE44FE" w:rsidRDefault="00BE44FE" w:rsidP="00BE44FE">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проведению праздников, смотров, конкурсов, фестивалей;</w:t>
      </w:r>
    </w:p>
    <w:p w:rsidR="00BE44FE" w:rsidRDefault="00BE44FE" w:rsidP="00BE44FE">
      <w:pPr>
        <w:tabs>
          <w:tab w:val="left" w:pos="993"/>
        </w:tabs>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-мероприятия по оказанию финансовой помощи муниципальным учреждениям </w:t>
      </w:r>
      <w:proofErr w:type="gramStart"/>
      <w:r>
        <w:rPr>
          <w:rFonts w:ascii="Times New Roman" w:hAnsi="Times New Roman" w:cs="Times New Roman"/>
          <w:sz w:val="24"/>
          <w:szCs w:val="24"/>
        </w:rPr>
        <w:t>культуры .</w:t>
      </w:r>
      <w:proofErr w:type="gramEnd"/>
    </w:p>
    <w:p w:rsidR="00BE44FE" w:rsidRDefault="00BE44FE" w:rsidP="00BE44FE">
      <w:pPr>
        <w:spacing w:before="0" w:line="360" w:lineRule="auto"/>
        <w:ind w:left="0" w:firstLine="709"/>
        <w:rPr>
          <w:rFonts w:ascii="Times New Roman" w:hAnsi="Times New Roman" w:cs="Times New Roman"/>
          <w:sz w:val="24"/>
          <w:szCs w:val="24"/>
        </w:rPr>
      </w:pP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7. Основные риски реализации муниципальной программы.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Основным риском реализации муниципальной программы "Развитие культуры Гордеевского </w:t>
      </w:r>
      <w:r w:rsidR="003E0C8F">
        <w:rPr>
          <w:rFonts w:ascii="Times New Roman" w:hAnsi="Times New Roman" w:cs="Times New Roman"/>
          <w:sz w:val="24"/>
          <w:szCs w:val="24"/>
        </w:rPr>
        <w:t>муниципального района на 2015 - 2017</w:t>
      </w:r>
      <w:r>
        <w:rPr>
          <w:rFonts w:ascii="Times New Roman" w:hAnsi="Times New Roman" w:cs="Times New Roman"/>
          <w:sz w:val="24"/>
          <w:szCs w:val="24"/>
        </w:rPr>
        <w:t xml:space="preserve">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w:t>
      </w:r>
      <w:r>
        <w:rPr>
          <w:rFonts w:ascii="Times New Roman" w:hAnsi="Times New Roman" w:cs="Times New Roman"/>
          <w:sz w:val="24"/>
          <w:szCs w:val="24"/>
        </w:rPr>
        <w:lastRenderedPageBreak/>
        <w:t>ассигнований, а в случае невозможности их выделения - сокращение количества предоставляемых услуг муниципальными учреждениями культуры.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8. Ожидаемые результаты реализации муниципальной программы.</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Прогноз целевых индикаторов и показателей муниципальной программы по годам реализации представлен в таблице 2 </w:t>
      </w:r>
    </w:p>
    <w:p w:rsidR="00BE44FE" w:rsidRDefault="00BE44FE" w:rsidP="00BE44FE">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Таблица 2</w:t>
      </w:r>
    </w:p>
    <w:tbl>
      <w:tblPr>
        <w:tblW w:w="8460" w:type="dxa"/>
        <w:tblInd w:w="-923" w:type="dxa"/>
        <w:tblLayout w:type="fixed"/>
        <w:tblCellMar>
          <w:left w:w="70" w:type="dxa"/>
          <w:right w:w="70" w:type="dxa"/>
        </w:tblCellMar>
        <w:tblLook w:val="04A0" w:firstRow="1" w:lastRow="0" w:firstColumn="1" w:lastColumn="0" w:noHBand="0" w:noVBand="1"/>
      </w:tblPr>
      <w:tblGrid>
        <w:gridCol w:w="4455"/>
        <w:gridCol w:w="1305"/>
        <w:gridCol w:w="1260"/>
        <w:gridCol w:w="1440"/>
      </w:tblGrid>
      <w:tr w:rsidR="003E0C8F" w:rsidTr="003E0C8F">
        <w:trPr>
          <w:cantSplit/>
          <w:trHeight w:val="360"/>
        </w:trPr>
        <w:tc>
          <w:tcPr>
            <w:tcW w:w="445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показателя</w:t>
            </w:r>
          </w:p>
        </w:tc>
        <w:tc>
          <w:tcPr>
            <w:tcW w:w="130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 г.</w:t>
            </w:r>
          </w:p>
        </w:tc>
        <w:tc>
          <w:tcPr>
            <w:tcW w:w="126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 год</w:t>
            </w:r>
          </w:p>
        </w:tc>
        <w:tc>
          <w:tcPr>
            <w:tcW w:w="144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 год</w:t>
            </w:r>
          </w:p>
        </w:tc>
      </w:tr>
      <w:tr w:rsidR="003E0C8F" w:rsidTr="003E0C8F">
        <w:trPr>
          <w:cantSplit/>
          <w:trHeight w:val="720"/>
        </w:trPr>
        <w:tc>
          <w:tcPr>
            <w:tcW w:w="445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чел. обучающих семинаров, мастер- классов, стажировок, практикумов, консультаций, курсов повышения квалификации</w:t>
            </w:r>
          </w:p>
        </w:tc>
        <w:tc>
          <w:tcPr>
            <w:tcW w:w="1305" w:type="dxa"/>
            <w:tcBorders>
              <w:top w:val="single" w:sz="6" w:space="0" w:color="auto"/>
              <w:left w:val="single" w:sz="6" w:space="0" w:color="auto"/>
              <w:bottom w:val="single" w:sz="6" w:space="0" w:color="auto"/>
              <w:right w:val="single" w:sz="6" w:space="0" w:color="auto"/>
            </w:tcBorders>
            <w:vAlign w:val="center"/>
          </w:tcPr>
          <w:p w:rsidR="003E0C8F" w:rsidRDefault="003E0C8F" w:rsidP="00BE44FE">
            <w:pPr>
              <w:pStyle w:val="ConsPlusCell"/>
              <w:suppressLineNumbers/>
              <w:ind w:firstLine="295"/>
              <w:rPr>
                <w:rFonts w:ascii="Times New Roman" w:eastAsia="Times New Roman" w:hAnsi="Times New Roman" w:cs="Times New Roman"/>
                <w:sz w:val="24"/>
                <w:szCs w:val="24"/>
              </w:rPr>
            </w:pPr>
          </w:p>
          <w:p w:rsidR="003E0C8F" w:rsidRDefault="003E0C8F" w:rsidP="00BE44FE">
            <w:pPr>
              <w:pStyle w:val="ConsPlusCell"/>
              <w:suppressLineNumbers/>
              <w:ind w:firstLine="295"/>
              <w:rPr>
                <w:rFonts w:ascii="Times New Roman" w:eastAsia="Times New Roman" w:hAnsi="Times New Roman" w:cs="Times New Roman"/>
                <w:sz w:val="24"/>
                <w:szCs w:val="24"/>
              </w:rPr>
            </w:pPr>
          </w:p>
          <w:p w:rsidR="003E0C8F" w:rsidRDefault="003E0C8F" w:rsidP="00BE44FE">
            <w:pPr>
              <w:pStyle w:val="ConsPlusCell"/>
              <w:suppressLineNumbers/>
              <w:ind w:firstLine="295"/>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p w:rsidR="003E0C8F" w:rsidRDefault="003E0C8F" w:rsidP="00BE44FE">
            <w:pPr>
              <w:pStyle w:val="ConsPlusCell"/>
              <w:suppressLineNumbers/>
              <w:ind w:firstLine="295"/>
              <w:jc w:val="center"/>
              <w:rPr>
                <w:rFonts w:ascii="Times New Roman" w:eastAsia="Times New Roman" w:hAnsi="Times New Roman" w:cs="Times New Roman"/>
                <w:sz w:val="24"/>
                <w:szCs w:val="24"/>
              </w:rPr>
            </w:pPr>
          </w:p>
          <w:p w:rsidR="003E0C8F" w:rsidRDefault="003E0C8F" w:rsidP="00BE44FE">
            <w:pPr>
              <w:pStyle w:val="ConsPlusCell"/>
              <w:suppressLineNumbers/>
              <w:ind w:firstLine="295"/>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44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3E0C8F" w:rsidTr="003E0C8F">
        <w:trPr>
          <w:cantSplit/>
          <w:trHeight w:val="360"/>
        </w:trPr>
        <w:tc>
          <w:tcPr>
            <w:tcW w:w="445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и </w:t>
            </w:r>
            <w:proofErr w:type="gramStart"/>
            <w:r>
              <w:rPr>
                <w:rFonts w:ascii="Times New Roman" w:eastAsia="Times New Roman" w:hAnsi="Times New Roman" w:cs="Times New Roman"/>
                <w:sz w:val="24"/>
                <w:szCs w:val="24"/>
              </w:rPr>
              <w:t>проведение .культурно</w:t>
            </w:r>
            <w:proofErr w:type="gramEnd"/>
            <w:r>
              <w:rPr>
                <w:rFonts w:ascii="Times New Roman" w:eastAsia="Times New Roman" w:hAnsi="Times New Roman" w:cs="Times New Roman"/>
                <w:sz w:val="24"/>
                <w:szCs w:val="24"/>
              </w:rPr>
              <w:t xml:space="preserve">-досуговых мероприятий </w:t>
            </w:r>
            <w:proofErr w:type="spellStart"/>
            <w:r>
              <w:rPr>
                <w:rFonts w:ascii="Times New Roman" w:eastAsia="Times New Roman" w:hAnsi="Times New Roman" w:cs="Times New Roman"/>
                <w:sz w:val="24"/>
                <w:szCs w:val="24"/>
              </w:rPr>
              <w:t>т.ед</w:t>
            </w:r>
            <w:proofErr w:type="spellEnd"/>
            <w:r>
              <w:rPr>
                <w:rFonts w:ascii="Times New Roman" w:eastAsia="Times New Roman" w:hAnsi="Times New Roman" w:cs="Times New Roman"/>
                <w:sz w:val="24"/>
                <w:szCs w:val="24"/>
              </w:rPr>
              <w:t>.</w:t>
            </w:r>
          </w:p>
        </w:tc>
        <w:tc>
          <w:tcPr>
            <w:tcW w:w="130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rPr>
                <w:rFonts w:ascii="Times New Roman" w:eastAsia="Times New Roman" w:hAnsi="Times New Roman" w:cs="Times New Roman"/>
                <w:sz w:val="24"/>
                <w:szCs w:val="24"/>
              </w:rPr>
            </w:pPr>
            <w:r>
              <w:rPr>
                <w:rFonts w:ascii="Times New Roman" w:eastAsia="Times New Roman" w:hAnsi="Times New Roman" w:cs="Times New Roman"/>
                <w:sz w:val="24"/>
                <w:szCs w:val="24"/>
              </w:rPr>
              <w:t>3072</w:t>
            </w:r>
          </w:p>
        </w:tc>
        <w:tc>
          <w:tcPr>
            <w:tcW w:w="126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3100</w:t>
            </w:r>
          </w:p>
        </w:tc>
        <w:tc>
          <w:tcPr>
            <w:tcW w:w="144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rPr>
                <w:rFonts w:ascii="Times New Roman" w:eastAsia="Times New Roman" w:hAnsi="Times New Roman" w:cs="Times New Roman"/>
                <w:sz w:val="24"/>
                <w:szCs w:val="24"/>
              </w:rPr>
            </w:pPr>
            <w:r>
              <w:rPr>
                <w:rFonts w:ascii="Times New Roman" w:eastAsia="Times New Roman" w:hAnsi="Times New Roman" w:cs="Times New Roman"/>
                <w:sz w:val="24"/>
                <w:szCs w:val="24"/>
              </w:rPr>
              <w:t>3100</w:t>
            </w:r>
          </w:p>
        </w:tc>
      </w:tr>
      <w:tr w:rsidR="003E0C8F" w:rsidTr="003E0C8F">
        <w:trPr>
          <w:cantSplit/>
          <w:trHeight w:val="720"/>
        </w:trPr>
        <w:tc>
          <w:tcPr>
            <w:tcW w:w="445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доступа к государственным услугам, оказываемым государственными учреждениями культуры и искусства чел.</w:t>
            </w:r>
          </w:p>
        </w:tc>
        <w:tc>
          <w:tcPr>
            <w:tcW w:w="130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4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3E0C8F" w:rsidTr="003E0C8F">
        <w:trPr>
          <w:cantSplit/>
          <w:trHeight w:val="960"/>
        </w:trPr>
        <w:tc>
          <w:tcPr>
            <w:tcW w:w="445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подведомственных государственных учреждений, выручка от оказания платных услуг физическим и юридическим лицам которых составляет более чем 25% в общей сумме доходов учреждения %</w:t>
            </w:r>
          </w:p>
        </w:tc>
        <w:tc>
          <w:tcPr>
            <w:tcW w:w="130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6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4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3E0C8F" w:rsidTr="003E0C8F">
        <w:trPr>
          <w:cantSplit/>
          <w:trHeight w:val="480"/>
        </w:trPr>
        <w:tc>
          <w:tcPr>
            <w:tcW w:w="445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подведомственных учреждений, имеющих собственные сайты в сети Интернет %</w:t>
            </w:r>
          </w:p>
        </w:tc>
        <w:tc>
          <w:tcPr>
            <w:tcW w:w="130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E0C8F" w:rsidTr="003E0C8F">
        <w:trPr>
          <w:cantSplit/>
          <w:trHeight w:val="1320"/>
        </w:trPr>
        <w:tc>
          <w:tcPr>
            <w:tcW w:w="445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или поселках городского типа на территории Брянской области чел.</w:t>
            </w:r>
          </w:p>
        </w:tc>
        <w:tc>
          <w:tcPr>
            <w:tcW w:w="1305"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6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40" w:type="dxa"/>
            <w:tcBorders>
              <w:top w:val="single" w:sz="6" w:space="0" w:color="auto"/>
              <w:left w:val="single" w:sz="6" w:space="0" w:color="auto"/>
              <w:bottom w:val="single" w:sz="6" w:space="0" w:color="auto"/>
              <w:right w:val="single" w:sz="6" w:space="0" w:color="auto"/>
            </w:tcBorders>
            <w:vAlign w:val="center"/>
            <w:hideMark/>
          </w:tcPr>
          <w:p w:rsidR="003E0C8F" w:rsidRDefault="003E0C8F" w:rsidP="00BE44FE">
            <w:pPr>
              <w:pStyle w:val="ConsPlusCell"/>
              <w:suppressLineNumbers/>
              <w:ind w:firstLine="2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rsidR="00BE44FE" w:rsidRDefault="00BE44FE" w:rsidP="00BE44FE">
      <w:pPr>
        <w:spacing w:before="0" w:line="240" w:lineRule="auto"/>
        <w:ind w:left="0" w:firstLine="0"/>
        <w:rPr>
          <w:rFonts w:ascii="Times New Roman" w:hAnsi="Times New Roman" w:cs="Times New Roman"/>
          <w:sz w:val="24"/>
          <w:szCs w:val="24"/>
        </w:rPr>
      </w:pP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w:t>
      </w:r>
      <w:r>
        <w:rPr>
          <w:rFonts w:ascii="Times New Roman" w:hAnsi="Times New Roman" w:cs="Times New Roman"/>
          <w:sz w:val="24"/>
          <w:szCs w:val="24"/>
        </w:rPr>
        <w:lastRenderedPageBreak/>
        <w:t>доходов учреждения, определяется по формуле</w:t>
      </w:r>
    </w:p>
    <w:p w:rsidR="00BE44FE" w:rsidRDefault="00BE44FE" w:rsidP="00BE44FE">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Дпл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Кпл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Кобщ</w:t>
      </w:r>
      <w:proofErr w:type="spellEnd"/>
      <w:r>
        <w:rPr>
          <w:rFonts w:ascii="Times New Roman" w:hAnsi="Times New Roman" w:cs="Times New Roman"/>
          <w:sz w:val="24"/>
          <w:szCs w:val="24"/>
        </w:rPr>
        <w:t>., где:</w:t>
      </w:r>
    </w:p>
    <w:p w:rsidR="00BE44FE" w:rsidRDefault="00BE44FE" w:rsidP="00BE44FE">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Дпл</w:t>
      </w:r>
      <w:proofErr w:type="spellEnd"/>
      <w:r>
        <w:rPr>
          <w:rFonts w:ascii="Times New Roman" w:hAnsi="Times New Roman" w:cs="Times New Roman"/>
          <w:sz w:val="24"/>
          <w:szCs w:val="24"/>
        </w:rPr>
        <w:t>. - 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w:t>
      </w:r>
    </w:p>
    <w:p w:rsidR="00BE44FE" w:rsidRDefault="00BE44FE" w:rsidP="00BE44FE">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Кпл</w:t>
      </w:r>
      <w:proofErr w:type="spellEnd"/>
      <w:r>
        <w:rPr>
          <w:rFonts w:ascii="Times New Roman" w:hAnsi="Times New Roman" w:cs="Times New Roman"/>
          <w:sz w:val="24"/>
          <w:szCs w:val="24"/>
        </w:rPr>
        <w:t>. - количество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w:t>
      </w:r>
    </w:p>
    <w:p w:rsidR="00BE44FE" w:rsidRDefault="00BE44FE" w:rsidP="00BE44FE">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Кобщ</w:t>
      </w:r>
      <w:proofErr w:type="spellEnd"/>
      <w:r>
        <w:rPr>
          <w:rFonts w:ascii="Times New Roman" w:hAnsi="Times New Roman" w:cs="Times New Roman"/>
          <w:sz w:val="24"/>
          <w:szCs w:val="24"/>
        </w:rPr>
        <w:t>. - общее количество подведомственных муниципальных учреждений.</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Доля подведомственных учреждений, имеющих собственные сайты в сети Интернет, определяется следующим образом:</w:t>
      </w:r>
    </w:p>
    <w:p w:rsidR="00BE44FE" w:rsidRDefault="00BE44FE" w:rsidP="00BE44FE">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Дс</w:t>
      </w:r>
      <w:proofErr w:type="spellEnd"/>
      <w:r>
        <w:rPr>
          <w:rFonts w:ascii="Times New Roman" w:hAnsi="Times New Roman" w:cs="Times New Roman"/>
          <w:sz w:val="24"/>
          <w:szCs w:val="24"/>
        </w:rPr>
        <w:t>. = Ус. / У, где:</w:t>
      </w:r>
    </w:p>
    <w:p w:rsidR="00BE44FE" w:rsidRDefault="00BE44FE" w:rsidP="00BE44FE">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Дс</w:t>
      </w:r>
      <w:proofErr w:type="spellEnd"/>
      <w:r>
        <w:rPr>
          <w:rFonts w:ascii="Times New Roman" w:hAnsi="Times New Roman" w:cs="Times New Roman"/>
          <w:sz w:val="24"/>
          <w:szCs w:val="24"/>
        </w:rPr>
        <w:t>. - доля подведомственных учреждений, имеющих собственные сайты в сети Интернет;</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Ус. - количество учреждений, имеющих собственные сайты в сети Интернет;</w:t>
      </w:r>
    </w:p>
    <w:p w:rsidR="00BE44FE" w:rsidRDefault="00BE44FE" w:rsidP="00BE44FE">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 - количество подведомственных учреждений.</w:t>
      </w:r>
    </w:p>
    <w:p w:rsidR="00BE44FE" w:rsidRDefault="00BE44FE" w:rsidP="00221754">
      <w:pPr>
        <w:spacing w:before="0" w:line="360" w:lineRule="auto"/>
        <w:ind w:left="0" w:firstLine="709"/>
        <w:rPr>
          <w:rFonts w:ascii="Times New Roman" w:hAnsi="Times New Roman" w:cs="Times New Roman"/>
          <w:sz w:val="24"/>
          <w:szCs w:val="24"/>
        </w:rPr>
        <w:sectPr w:rsidR="00BE44FE">
          <w:pgSz w:w="11906" w:h="16838"/>
          <w:pgMar w:top="851" w:right="851" w:bottom="851" w:left="1418" w:header="709" w:footer="709" w:gutter="0"/>
          <w:pgNumType w:start="1"/>
          <w:cols w:space="720"/>
        </w:sectPr>
      </w:pPr>
      <w:r>
        <w:rPr>
          <w:rFonts w:ascii="Times New Roman" w:hAnsi="Times New Roman" w:cs="Times New Roman"/>
          <w:sz w:val="24"/>
          <w:szCs w:val="24"/>
        </w:rPr>
        <w:t xml:space="preserve">Источником информации о значении показателей остальных индикаторов является государственная статистическая отчетность и отчетность, утвержденная </w:t>
      </w:r>
      <w:hyperlink r:id="rId6" w:history="1">
        <w:r>
          <w:rPr>
            <w:rStyle w:val="a3"/>
            <w:rFonts w:ascii="Times New Roman" w:hAnsi="Times New Roman" w:cs="Times New Roman"/>
            <w:sz w:val="24"/>
            <w:szCs w:val="24"/>
          </w:rPr>
          <w:t>Постановлением</w:t>
        </w:r>
      </w:hyperlink>
      <w:r>
        <w:rPr>
          <w:rFonts w:ascii="Times New Roman" w:hAnsi="Times New Roman" w:cs="Times New Roman"/>
          <w:sz w:val="24"/>
          <w:szCs w:val="24"/>
        </w:rPr>
        <w:t xml:space="preserve"> администрации области от 16 марта 2005 года N 104 "Об утверждении Положения о порядке и условиях предоставления денежной выплаты по оплате жилья и коммунальных услуг отдельным категориям граждан, работающих в сельской местности или поселках городского типа на территории Брянской области".</w:t>
      </w:r>
    </w:p>
    <w:p w:rsidR="00BE44FE" w:rsidRDefault="00BE44FE" w:rsidP="00BE44FE">
      <w:pPr>
        <w:spacing w:before="0" w:line="240" w:lineRule="auto"/>
        <w:ind w:left="0" w:firstLine="0"/>
        <w:rPr>
          <w:rFonts w:ascii="Times New Roman" w:hAnsi="Times New Roman" w:cs="Times New Roman"/>
          <w:sz w:val="16"/>
          <w:szCs w:val="16"/>
        </w:rPr>
      </w:pPr>
    </w:p>
    <w:p w:rsidR="00221754" w:rsidRPr="00221754" w:rsidRDefault="00221754" w:rsidP="00221754">
      <w:pPr>
        <w:spacing w:line="360" w:lineRule="auto"/>
        <w:ind w:firstLine="720"/>
        <w:jc w:val="center"/>
        <w:rPr>
          <w:rFonts w:ascii="Times New Roman" w:hAnsi="Times New Roman" w:cs="Times New Roman"/>
          <w:sz w:val="24"/>
          <w:szCs w:val="24"/>
        </w:rPr>
      </w:pPr>
      <w:r w:rsidRPr="00221754">
        <w:rPr>
          <w:rFonts w:ascii="Times New Roman" w:hAnsi="Times New Roman" w:cs="Times New Roman"/>
          <w:sz w:val="24"/>
          <w:szCs w:val="24"/>
        </w:rPr>
        <w:t>План</w:t>
      </w:r>
    </w:p>
    <w:p w:rsidR="00221754" w:rsidRPr="00221754" w:rsidRDefault="00221754" w:rsidP="00221754">
      <w:pPr>
        <w:spacing w:line="360" w:lineRule="auto"/>
        <w:ind w:firstLine="720"/>
        <w:jc w:val="center"/>
        <w:rPr>
          <w:rFonts w:ascii="Times New Roman" w:hAnsi="Times New Roman" w:cs="Times New Roman"/>
          <w:sz w:val="24"/>
          <w:szCs w:val="24"/>
        </w:rPr>
      </w:pPr>
      <w:r w:rsidRPr="00221754">
        <w:rPr>
          <w:rFonts w:ascii="Times New Roman" w:hAnsi="Times New Roman" w:cs="Times New Roman"/>
          <w:sz w:val="24"/>
          <w:szCs w:val="24"/>
        </w:rPr>
        <w:t>Реализации муниципальной программы</w:t>
      </w:r>
    </w:p>
    <w:p w:rsidR="00221754" w:rsidRPr="00221754" w:rsidRDefault="00221754" w:rsidP="00221754">
      <w:pPr>
        <w:spacing w:line="360" w:lineRule="auto"/>
        <w:ind w:firstLine="720"/>
        <w:jc w:val="center"/>
        <w:rPr>
          <w:rFonts w:ascii="Times New Roman" w:hAnsi="Times New Roman" w:cs="Times New Roman"/>
          <w:sz w:val="24"/>
          <w:szCs w:val="24"/>
        </w:rPr>
      </w:pPr>
      <w:r w:rsidRPr="00221754">
        <w:rPr>
          <w:rFonts w:ascii="Times New Roman" w:hAnsi="Times New Roman" w:cs="Times New Roman"/>
          <w:sz w:val="24"/>
          <w:szCs w:val="24"/>
        </w:rPr>
        <w:t>«Развитие культуры Гордеевского муниципального района на 2015-2017гг»</w:t>
      </w:r>
    </w:p>
    <w:tbl>
      <w:tblPr>
        <w:tblStyle w:val="a8"/>
        <w:tblW w:w="0" w:type="auto"/>
        <w:tblLayout w:type="fixed"/>
        <w:tblLook w:val="01E0" w:firstRow="1" w:lastRow="1" w:firstColumn="1" w:lastColumn="1" w:noHBand="0" w:noVBand="0"/>
      </w:tblPr>
      <w:tblGrid>
        <w:gridCol w:w="590"/>
        <w:gridCol w:w="2174"/>
        <w:gridCol w:w="1434"/>
        <w:gridCol w:w="2136"/>
        <w:gridCol w:w="1312"/>
        <w:gridCol w:w="1312"/>
        <w:gridCol w:w="1312"/>
        <w:gridCol w:w="1314"/>
        <w:gridCol w:w="1894"/>
      </w:tblGrid>
      <w:tr w:rsidR="00221754" w:rsidRPr="00221754" w:rsidTr="00221754">
        <w:trPr>
          <w:trHeight w:val="392"/>
        </w:trPr>
        <w:tc>
          <w:tcPr>
            <w:tcW w:w="590" w:type="dxa"/>
            <w:vMerge w:val="restart"/>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 п/п</w:t>
            </w:r>
          </w:p>
        </w:tc>
        <w:tc>
          <w:tcPr>
            <w:tcW w:w="2174" w:type="dxa"/>
            <w:vMerge w:val="restart"/>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Наименование мероприятия программы</w:t>
            </w:r>
          </w:p>
        </w:tc>
        <w:tc>
          <w:tcPr>
            <w:tcW w:w="1434" w:type="dxa"/>
            <w:vMerge w:val="restart"/>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Срок реализации (годы)</w:t>
            </w:r>
          </w:p>
        </w:tc>
        <w:tc>
          <w:tcPr>
            <w:tcW w:w="2134" w:type="dxa"/>
            <w:vMerge w:val="restart"/>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Источник финансирования</w:t>
            </w:r>
          </w:p>
        </w:tc>
        <w:tc>
          <w:tcPr>
            <w:tcW w:w="5250" w:type="dxa"/>
            <w:gridSpan w:val="4"/>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Объемы финансирования, руб.</w:t>
            </w:r>
          </w:p>
        </w:tc>
        <w:tc>
          <w:tcPr>
            <w:tcW w:w="1894" w:type="dxa"/>
            <w:vMerge w:val="restart"/>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Ответственные исполнители</w:t>
            </w:r>
          </w:p>
        </w:tc>
      </w:tr>
      <w:tr w:rsidR="00221754" w:rsidRPr="00221754" w:rsidTr="00221754">
        <w:trPr>
          <w:trHeight w:val="392"/>
        </w:trPr>
        <w:tc>
          <w:tcPr>
            <w:tcW w:w="590" w:type="dxa"/>
            <w:vMerge/>
            <w:vAlign w:val="center"/>
          </w:tcPr>
          <w:p w:rsidR="00221754" w:rsidRPr="00221754" w:rsidRDefault="00221754" w:rsidP="006A328C">
            <w:pPr>
              <w:jc w:val="center"/>
              <w:rPr>
                <w:rFonts w:ascii="Times New Roman" w:hAnsi="Times New Roman" w:cs="Times New Roman"/>
              </w:rPr>
            </w:pPr>
          </w:p>
        </w:tc>
        <w:tc>
          <w:tcPr>
            <w:tcW w:w="2174" w:type="dxa"/>
            <w:vMerge/>
            <w:vAlign w:val="center"/>
          </w:tcPr>
          <w:p w:rsidR="00221754" w:rsidRPr="00221754" w:rsidRDefault="00221754" w:rsidP="006A328C">
            <w:pPr>
              <w:jc w:val="center"/>
              <w:rPr>
                <w:rFonts w:ascii="Times New Roman" w:hAnsi="Times New Roman" w:cs="Times New Roman"/>
              </w:rPr>
            </w:pPr>
          </w:p>
        </w:tc>
        <w:tc>
          <w:tcPr>
            <w:tcW w:w="1434" w:type="dxa"/>
            <w:vMerge/>
            <w:vAlign w:val="center"/>
          </w:tcPr>
          <w:p w:rsidR="00221754" w:rsidRPr="00221754" w:rsidRDefault="00221754" w:rsidP="006A328C">
            <w:pPr>
              <w:jc w:val="center"/>
              <w:rPr>
                <w:rFonts w:ascii="Times New Roman" w:hAnsi="Times New Roman" w:cs="Times New Roman"/>
              </w:rPr>
            </w:pPr>
          </w:p>
        </w:tc>
        <w:tc>
          <w:tcPr>
            <w:tcW w:w="2134" w:type="dxa"/>
            <w:vMerge/>
            <w:vAlign w:val="center"/>
          </w:tcPr>
          <w:p w:rsidR="00221754" w:rsidRPr="00221754" w:rsidRDefault="00221754" w:rsidP="006A328C">
            <w:pPr>
              <w:jc w:val="center"/>
              <w:rPr>
                <w:rFonts w:ascii="Times New Roman" w:hAnsi="Times New Roman" w:cs="Times New Roman"/>
              </w:rPr>
            </w:pPr>
          </w:p>
        </w:tc>
        <w:tc>
          <w:tcPr>
            <w:tcW w:w="1312" w:type="dxa"/>
            <w:vMerge w:val="restart"/>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всего</w:t>
            </w:r>
          </w:p>
        </w:tc>
        <w:tc>
          <w:tcPr>
            <w:tcW w:w="3938" w:type="dxa"/>
            <w:gridSpan w:val="3"/>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в том числе</w:t>
            </w:r>
          </w:p>
        </w:tc>
        <w:tc>
          <w:tcPr>
            <w:tcW w:w="1894" w:type="dxa"/>
            <w:vMerge/>
            <w:vAlign w:val="center"/>
          </w:tcPr>
          <w:p w:rsidR="00221754" w:rsidRPr="00221754" w:rsidRDefault="00221754" w:rsidP="006A328C">
            <w:pPr>
              <w:jc w:val="center"/>
              <w:rPr>
                <w:rFonts w:ascii="Times New Roman" w:hAnsi="Times New Roman" w:cs="Times New Roman"/>
              </w:rPr>
            </w:pPr>
          </w:p>
        </w:tc>
      </w:tr>
      <w:tr w:rsidR="00601FDD" w:rsidRPr="00221754" w:rsidTr="00221754">
        <w:trPr>
          <w:trHeight w:val="392"/>
        </w:trPr>
        <w:tc>
          <w:tcPr>
            <w:tcW w:w="590" w:type="dxa"/>
            <w:vMerge/>
            <w:vAlign w:val="center"/>
          </w:tcPr>
          <w:p w:rsidR="00221754" w:rsidRPr="00221754" w:rsidRDefault="00221754" w:rsidP="006A328C">
            <w:pPr>
              <w:jc w:val="center"/>
              <w:rPr>
                <w:rFonts w:ascii="Times New Roman" w:hAnsi="Times New Roman" w:cs="Times New Roman"/>
              </w:rPr>
            </w:pPr>
          </w:p>
        </w:tc>
        <w:tc>
          <w:tcPr>
            <w:tcW w:w="2174" w:type="dxa"/>
            <w:vMerge/>
            <w:vAlign w:val="center"/>
          </w:tcPr>
          <w:p w:rsidR="00221754" w:rsidRPr="00221754" w:rsidRDefault="00221754" w:rsidP="006A328C">
            <w:pPr>
              <w:jc w:val="center"/>
              <w:rPr>
                <w:rFonts w:ascii="Times New Roman" w:hAnsi="Times New Roman" w:cs="Times New Roman"/>
              </w:rPr>
            </w:pPr>
          </w:p>
        </w:tc>
        <w:tc>
          <w:tcPr>
            <w:tcW w:w="1434" w:type="dxa"/>
            <w:vMerge/>
            <w:vAlign w:val="center"/>
          </w:tcPr>
          <w:p w:rsidR="00221754" w:rsidRPr="00221754" w:rsidRDefault="00221754" w:rsidP="006A328C">
            <w:pPr>
              <w:jc w:val="center"/>
              <w:rPr>
                <w:rFonts w:ascii="Times New Roman" w:hAnsi="Times New Roman" w:cs="Times New Roman"/>
              </w:rPr>
            </w:pPr>
          </w:p>
        </w:tc>
        <w:tc>
          <w:tcPr>
            <w:tcW w:w="2134" w:type="dxa"/>
            <w:vMerge/>
            <w:vAlign w:val="center"/>
          </w:tcPr>
          <w:p w:rsidR="00221754" w:rsidRPr="00221754" w:rsidRDefault="00221754" w:rsidP="006A328C">
            <w:pPr>
              <w:jc w:val="center"/>
              <w:rPr>
                <w:rFonts w:ascii="Times New Roman" w:hAnsi="Times New Roman" w:cs="Times New Roman"/>
              </w:rPr>
            </w:pPr>
          </w:p>
        </w:tc>
        <w:tc>
          <w:tcPr>
            <w:tcW w:w="1312" w:type="dxa"/>
            <w:vMerge/>
            <w:vAlign w:val="center"/>
          </w:tcPr>
          <w:p w:rsidR="00221754" w:rsidRPr="00221754" w:rsidRDefault="00221754" w:rsidP="006A328C">
            <w:pPr>
              <w:jc w:val="center"/>
              <w:rPr>
                <w:rFonts w:ascii="Times New Roman" w:hAnsi="Times New Roman" w:cs="Times New Roman"/>
              </w:rPr>
            </w:pPr>
          </w:p>
        </w:tc>
        <w:tc>
          <w:tcPr>
            <w:tcW w:w="1312" w:type="dxa"/>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2015 г.</w:t>
            </w:r>
          </w:p>
        </w:tc>
        <w:tc>
          <w:tcPr>
            <w:tcW w:w="1312" w:type="dxa"/>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2016 г.</w:t>
            </w:r>
          </w:p>
        </w:tc>
        <w:tc>
          <w:tcPr>
            <w:tcW w:w="1313" w:type="dxa"/>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2017 г.</w:t>
            </w:r>
          </w:p>
        </w:tc>
        <w:tc>
          <w:tcPr>
            <w:tcW w:w="1894" w:type="dxa"/>
            <w:vMerge/>
            <w:vAlign w:val="center"/>
          </w:tcPr>
          <w:p w:rsidR="00221754" w:rsidRPr="00221754" w:rsidRDefault="00221754" w:rsidP="006A328C">
            <w:pPr>
              <w:jc w:val="center"/>
              <w:rPr>
                <w:rFonts w:ascii="Times New Roman" w:hAnsi="Times New Roman" w:cs="Times New Roman"/>
              </w:rPr>
            </w:pPr>
          </w:p>
        </w:tc>
      </w:tr>
      <w:tr w:rsidR="00601FDD" w:rsidRPr="00221754" w:rsidTr="00221754">
        <w:trPr>
          <w:trHeight w:val="1311"/>
        </w:trPr>
        <w:tc>
          <w:tcPr>
            <w:tcW w:w="590" w:type="dxa"/>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1</w:t>
            </w:r>
          </w:p>
        </w:tc>
        <w:tc>
          <w:tcPr>
            <w:tcW w:w="2174" w:type="dxa"/>
            <w:vAlign w:val="center"/>
          </w:tcPr>
          <w:p w:rsidR="00221754" w:rsidRPr="00221754" w:rsidRDefault="00221754" w:rsidP="00221754">
            <w:pPr>
              <w:spacing w:line="240" w:lineRule="auto"/>
              <w:jc w:val="left"/>
              <w:rPr>
                <w:rFonts w:ascii="Times New Roman" w:hAnsi="Times New Roman" w:cs="Times New Roman"/>
              </w:rPr>
            </w:pPr>
            <w:r w:rsidRPr="00221754">
              <w:rPr>
                <w:rFonts w:ascii="Times New Roman" w:hAnsi="Times New Roman" w:cs="Times New Roman"/>
              </w:rPr>
              <w:t>Предоставление мер социальной поддержки работникам культуры, работающим в сельской местности на территории Брянской области</w:t>
            </w:r>
          </w:p>
        </w:tc>
        <w:tc>
          <w:tcPr>
            <w:tcW w:w="14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 xml:space="preserve">2015-2017 </w:t>
            </w:r>
            <w:proofErr w:type="spellStart"/>
            <w:r w:rsidRPr="00221754">
              <w:rPr>
                <w:rFonts w:ascii="Times New Roman" w:hAnsi="Times New Roman" w:cs="Times New Roman"/>
              </w:rPr>
              <w:t>гг</w:t>
            </w:r>
            <w:proofErr w:type="spellEnd"/>
          </w:p>
        </w:tc>
        <w:tc>
          <w:tcPr>
            <w:tcW w:w="21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Бюджет Гордеевского муниципального района</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375688,00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102208,00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136740,00</w:t>
            </w:r>
          </w:p>
        </w:tc>
        <w:tc>
          <w:tcPr>
            <w:tcW w:w="1313"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136740,00</w:t>
            </w:r>
          </w:p>
        </w:tc>
        <w:tc>
          <w:tcPr>
            <w:tcW w:w="1894" w:type="dxa"/>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«ГКДЦ»</w:t>
            </w:r>
          </w:p>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МЦБС</w:t>
            </w:r>
          </w:p>
        </w:tc>
      </w:tr>
      <w:tr w:rsidR="00601FDD" w:rsidRPr="00221754" w:rsidTr="00221754">
        <w:trPr>
          <w:trHeight w:val="1795"/>
        </w:trPr>
        <w:tc>
          <w:tcPr>
            <w:tcW w:w="590" w:type="dxa"/>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2</w:t>
            </w:r>
          </w:p>
        </w:tc>
        <w:tc>
          <w:tcPr>
            <w:tcW w:w="217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Мероприятия по оказанию финансовой помощи муниципальным учреждениям культуры Гордеевского района</w:t>
            </w:r>
          </w:p>
        </w:tc>
        <w:tc>
          <w:tcPr>
            <w:tcW w:w="14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 xml:space="preserve">2015-2017 </w:t>
            </w:r>
            <w:proofErr w:type="spellStart"/>
            <w:r w:rsidRPr="00221754">
              <w:rPr>
                <w:rFonts w:ascii="Times New Roman" w:hAnsi="Times New Roman" w:cs="Times New Roman"/>
              </w:rPr>
              <w:t>гг</w:t>
            </w:r>
            <w:proofErr w:type="spellEnd"/>
          </w:p>
        </w:tc>
        <w:tc>
          <w:tcPr>
            <w:tcW w:w="21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Бюджет Гордеевского муниципального района</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32575958,00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11082118,00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10721920,00</w:t>
            </w:r>
          </w:p>
        </w:tc>
        <w:tc>
          <w:tcPr>
            <w:tcW w:w="1313"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10771920,00</w:t>
            </w:r>
          </w:p>
        </w:tc>
        <w:tc>
          <w:tcPr>
            <w:tcW w:w="1894" w:type="dxa"/>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«ГКДЦ»</w:t>
            </w:r>
          </w:p>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МЦБС</w:t>
            </w:r>
          </w:p>
        </w:tc>
      </w:tr>
      <w:tr w:rsidR="00601FDD" w:rsidRPr="00221754" w:rsidTr="00221754">
        <w:trPr>
          <w:trHeight w:val="599"/>
        </w:trPr>
        <w:tc>
          <w:tcPr>
            <w:tcW w:w="590" w:type="dxa"/>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3</w:t>
            </w:r>
          </w:p>
        </w:tc>
        <w:tc>
          <w:tcPr>
            <w:tcW w:w="217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 xml:space="preserve">Проведение </w:t>
            </w:r>
            <w:r w:rsidRPr="00221754">
              <w:rPr>
                <w:rFonts w:ascii="Times New Roman" w:hAnsi="Times New Roman" w:cs="Times New Roman"/>
              </w:rPr>
              <w:lastRenderedPageBreak/>
              <w:t>праздников, смотров, конкурсов, фестивалей</w:t>
            </w:r>
          </w:p>
        </w:tc>
        <w:tc>
          <w:tcPr>
            <w:tcW w:w="14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lastRenderedPageBreak/>
              <w:t xml:space="preserve">2015-2017 </w:t>
            </w:r>
            <w:proofErr w:type="spellStart"/>
            <w:r w:rsidRPr="00221754">
              <w:rPr>
                <w:rFonts w:ascii="Times New Roman" w:hAnsi="Times New Roman" w:cs="Times New Roman"/>
              </w:rPr>
              <w:t>гг</w:t>
            </w:r>
            <w:proofErr w:type="spellEnd"/>
          </w:p>
        </w:tc>
        <w:tc>
          <w:tcPr>
            <w:tcW w:w="21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 xml:space="preserve">Бюджет </w:t>
            </w:r>
            <w:r w:rsidRPr="00221754">
              <w:rPr>
                <w:rFonts w:ascii="Times New Roman" w:hAnsi="Times New Roman" w:cs="Times New Roman"/>
              </w:rPr>
              <w:lastRenderedPageBreak/>
              <w:t>Гордеевского муниципального района</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lastRenderedPageBreak/>
              <w:t>104000,00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44000,00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30000,00</w:t>
            </w:r>
          </w:p>
        </w:tc>
        <w:tc>
          <w:tcPr>
            <w:tcW w:w="1313"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30000,00</w:t>
            </w:r>
          </w:p>
        </w:tc>
        <w:tc>
          <w:tcPr>
            <w:tcW w:w="1894" w:type="dxa"/>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«ГКДЦ»</w:t>
            </w:r>
          </w:p>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lastRenderedPageBreak/>
              <w:t>МБУК МЦБС</w:t>
            </w:r>
          </w:p>
        </w:tc>
      </w:tr>
      <w:tr w:rsidR="00601FDD" w:rsidRPr="00221754" w:rsidTr="00221754">
        <w:trPr>
          <w:trHeight w:val="1100"/>
        </w:trPr>
        <w:tc>
          <w:tcPr>
            <w:tcW w:w="590" w:type="dxa"/>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lastRenderedPageBreak/>
              <w:t>4</w:t>
            </w:r>
          </w:p>
        </w:tc>
        <w:tc>
          <w:tcPr>
            <w:tcW w:w="217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Мероприятия по проведению капитального и текущего ремонта</w:t>
            </w:r>
          </w:p>
        </w:tc>
        <w:tc>
          <w:tcPr>
            <w:tcW w:w="14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 xml:space="preserve">2015-2017 </w:t>
            </w:r>
            <w:proofErr w:type="spellStart"/>
            <w:r w:rsidRPr="00221754">
              <w:rPr>
                <w:rFonts w:ascii="Times New Roman" w:hAnsi="Times New Roman" w:cs="Times New Roman"/>
              </w:rPr>
              <w:t>гг</w:t>
            </w:r>
            <w:proofErr w:type="spellEnd"/>
          </w:p>
        </w:tc>
        <w:tc>
          <w:tcPr>
            <w:tcW w:w="21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Бюджет Гордеевского муниципального района</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474356,00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224356,00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125000,00</w:t>
            </w:r>
          </w:p>
        </w:tc>
        <w:tc>
          <w:tcPr>
            <w:tcW w:w="1313"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125000,00</w:t>
            </w:r>
          </w:p>
        </w:tc>
        <w:tc>
          <w:tcPr>
            <w:tcW w:w="1894" w:type="dxa"/>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«ГКДЦ»</w:t>
            </w:r>
          </w:p>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МЦБС</w:t>
            </w:r>
          </w:p>
        </w:tc>
      </w:tr>
      <w:tr w:rsidR="00601FDD" w:rsidRPr="00221754" w:rsidTr="00221754">
        <w:trPr>
          <w:trHeight w:val="5807"/>
        </w:trPr>
        <w:tc>
          <w:tcPr>
            <w:tcW w:w="590" w:type="dxa"/>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5</w:t>
            </w:r>
          </w:p>
        </w:tc>
        <w:tc>
          <w:tcPr>
            <w:tcW w:w="217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 xml:space="preserve">Реализация мероприятий государственной программы «Государственная поддержка муниципальных учреждений культуры, находящихся на территориях сельских поселений в рамках подпрограммы «Искусство» Государственной программы РФ «Развитие культуры и туризма», «Государственная поддержка лучших </w:t>
            </w:r>
            <w:r w:rsidRPr="00221754">
              <w:rPr>
                <w:rFonts w:ascii="Times New Roman" w:hAnsi="Times New Roman" w:cs="Times New Roman"/>
              </w:rPr>
              <w:lastRenderedPageBreak/>
              <w:t>работников муниципальных учреждений культуры, находящихся на территориях сельских поселений, в рамках подпрограммы «Искусство» государственной программы РФ «Развитие культуры и туризма» государственной программы «Развитие культуры и туризма в Брянской области»</w:t>
            </w:r>
          </w:p>
        </w:tc>
        <w:tc>
          <w:tcPr>
            <w:tcW w:w="14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lastRenderedPageBreak/>
              <w:t xml:space="preserve">2015-2017 </w:t>
            </w:r>
            <w:proofErr w:type="spellStart"/>
            <w:r w:rsidRPr="00221754">
              <w:rPr>
                <w:rFonts w:ascii="Times New Roman" w:hAnsi="Times New Roman" w:cs="Times New Roman"/>
              </w:rPr>
              <w:t>гг</w:t>
            </w:r>
            <w:proofErr w:type="spellEnd"/>
          </w:p>
        </w:tc>
        <w:tc>
          <w:tcPr>
            <w:tcW w:w="21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Областной бюджет</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150000,00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100000,00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50000,00</w:t>
            </w:r>
          </w:p>
        </w:tc>
        <w:tc>
          <w:tcPr>
            <w:tcW w:w="1313"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w:t>
            </w:r>
          </w:p>
        </w:tc>
        <w:tc>
          <w:tcPr>
            <w:tcW w:w="1894" w:type="dxa"/>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«ГКДЦ»</w:t>
            </w:r>
          </w:p>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МЦБС</w:t>
            </w:r>
          </w:p>
        </w:tc>
      </w:tr>
      <w:tr w:rsidR="00601FDD" w:rsidRPr="00221754" w:rsidTr="00221754">
        <w:trPr>
          <w:trHeight w:val="1573"/>
        </w:trPr>
        <w:tc>
          <w:tcPr>
            <w:tcW w:w="590"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lastRenderedPageBreak/>
              <w:t>6</w:t>
            </w:r>
          </w:p>
        </w:tc>
        <w:tc>
          <w:tcPr>
            <w:tcW w:w="217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 xml:space="preserve">Мероприятия по обеспечению пожарной безопасности учреждений культуры </w:t>
            </w:r>
          </w:p>
        </w:tc>
        <w:tc>
          <w:tcPr>
            <w:tcW w:w="14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 xml:space="preserve">2015-2017 </w:t>
            </w:r>
            <w:proofErr w:type="spellStart"/>
            <w:r w:rsidRPr="00221754">
              <w:rPr>
                <w:rFonts w:ascii="Times New Roman" w:hAnsi="Times New Roman" w:cs="Times New Roman"/>
              </w:rPr>
              <w:t>гг</w:t>
            </w:r>
            <w:proofErr w:type="spellEnd"/>
          </w:p>
        </w:tc>
        <w:tc>
          <w:tcPr>
            <w:tcW w:w="2134"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Бюджет Гордеевского муниципального района</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323873,00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232073,00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45900,00</w:t>
            </w:r>
          </w:p>
        </w:tc>
        <w:tc>
          <w:tcPr>
            <w:tcW w:w="1313"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45900,00</w:t>
            </w:r>
          </w:p>
        </w:tc>
        <w:tc>
          <w:tcPr>
            <w:tcW w:w="1894" w:type="dxa"/>
            <w:vAlign w:val="center"/>
          </w:tcPr>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«ГКДЦ»</w:t>
            </w:r>
          </w:p>
          <w:p w:rsidR="00221754" w:rsidRPr="00221754" w:rsidRDefault="00221754" w:rsidP="006A328C">
            <w:pPr>
              <w:jc w:val="center"/>
              <w:rPr>
                <w:rFonts w:ascii="Times New Roman" w:hAnsi="Times New Roman" w:cs="Times New Roman"/>
              </w:rPr>
            </w:pPr>
            <w:r w:rsidRPr="00221754">
              <w:rPr>
                <w:rFonts w:ascii="Times New Roman" w:hAnsi="Times New Roman" w:cs="Times New Roman"/>
              </w:rPr>
              <w:t>МБУК МЦБС</w:t>
            </w:r>
          </w:p>
        </w:tc>
      </w:tr>
      <w:tr w:rsidR="00221754" w:rsidRPr="00221754" w:rsidTr="00221754">
        <w:trPr>
          <w:trHeight w:val="406"/>
        </w:trPr>
        <w:tc>
          <w:tcPr>
            <w:tcW w:w="6334" w:type="dxa"/>
            <w:gridSpan w:val="4"/>
          </w:tcPr>
          <w:p w:rsidR="00221754" w:rsidRPr="00221754" w:rsidRDefault="00221754" w:rsidP="006A328C">
            <w:pPr>
              <w:rPr>
                <w:rFonts w:ascii="Times New Roman" w:hAnsi="Times New Roman" w:cs="Times New Roman"/>
              </w:rPr>
            </w:pPr>
            <w:r w:rsidRPr="00221754">
              <w:rPr>
                <w:rFonts w:ascii="Times New Roman" w:hAnsi="Times New Roman" w:cs="Times New Roman"/>
              </w:rPr>
              <w:t>Итого по учреждениям культуры:</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34003875,00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11784755,00</w:t>
            </w:r>
          </w:p>
        </w:tc>
        <w:tc>
          <w:tcPr>
            <w:tcW w:w="1312"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11109560,00</w:t>
            </w:r>
          </w:p>
        </w:tc>
        <w:tc>
          <w:tcPr>
            <w:tcW w:w="1313" w:type="dxa"/>
          </w:tcPr>
          <w:p w:rsidR="00221754" w:rsidRPr="00221754" w:rsidRDefault="00221754" w:rsidP="006A328C">
            <w:pPr>
              <w:rPr>
                <w:rFonts w:ascii="Times New Roman" w:hAnsi="Times New Roman" w:cs="Times New Roman"/>
              </w:rPr>
            </w:pPr>
            <w:r w:rsidRPr="00221754">
              <w:rPr>
                <w:rFonts w:ascii="Times New Roman" w:hAnsi="Times New Roman" w:cs="Times New Roman"/>
              </w:rPr>
              <w:t>11109560,00</w:t>
            </w:r>
          </w:p>
        </w:tc>
        <w:tc>
          <w:tcPr>
            <w:tcW w:w="1894" w:type="dxa"/>
          </w:tcPr>
          <w:p w:rsidR="00221754" w:rsidRPr="00221754" w:rsidRDefault="00221754" w:rsidP="006A328C">
            <w:pPr>
              <w:rPr>
                <w:rFonts w:ascii="Times New Roman" w:hAnsi="Times New Roman" w:cs="Times New Roman"/>
              </w:rPr>
            </w:pPr>
          </w:p>
        </w:tc>
      </w:tr>
    </w:tbl>
    <w:p w:rsidR="00601FDD" w:rsidRPr="00221754" w:rsidRDefault="00221754" w:rsidP="00601FDD">
      <w:pPr>
        <w:tabs>
          <w:tab w:val="left" w:pos="1245"/>
        </w:tabs>
        <w:ind w:left="0" w:firstLine="0"/>
        <w:jc w:val="center"/>
        <w:rPr>
          <w:rFonts w:ascii="Times New Roman" w:hAnsi="Times New Roman" w:cs="Times New Roman"/>
          <w:sz w:val="24"/>
          <w:szCs w:val="24"/>
        </w:rPr>
      </w:pPr>
      <w:r w:rsidRPr="00221754">
        <w:rPr>
          <w:rFonts w:ascii="Times New Roman" w:hAnsi="Times New Roman" w:cs="Times New Roman"/>
          <w:sz w:val="24"/>
          <w:szCs w:val="24"/>
        </w:rPr>
        <w:t>Директор МБУК «</w:t>
      </w:r>
      <w:proofErr w:type="gramStart"/>
      <w:r w:rsidRPr="00221754">
        <w:rPr>
          <w:rFonts w:ascii="Times New Roman" w:hAnsi="Times New Roman" w:cs="Times New Roman"/>
          <w:sz w:val="24"/>
          <w:szCs w:val="24"/>
        </w:rPr>
        <w:t xml:space="preserve">ГКДЦ»   </w:t>
      </w:r>
      <w:proofErr w:type="gramEnd"/>
      <w:r w:rsidRPr="00221754">
        <w:rPr>
          <w:rFonts w:ascii="Times New Roman" w:hAnsi="Times New Roman" w:cs="Times New Roman"/>
          <w:sz w:val="24"/>
          <w:szCs w:val="24"/>
        </w:rPr>
        <w:t xml:space="preserve">                                                             Е.П. Дивисенко</w:t>
      </w:r>
      <w:bookmarkStart w:id="0" w:name="_GoBack"/>
      <w:bookmarkEnd w:id="0"/>
    </w:p>
    <w:sectPr w:rsidR="00601FDD" w:rsidRPr="00221754" w:rsidSect="00601FDD">
      <w:pgSz w:w="16838" w:h="11906" w:orient="landscape"/>
      <w:pgMar w:top="850" w:right="1134" w:bottom="184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0482A"/>
    <w:multiLevelType w:val="hybridMultilevel"/>
    <w:tmpl w:val="864A6712"/>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85348D"/>
    <w:multiLevelType w:val="hybridMultilevel"/>
    <w:tmpl w:val="8C7044BC"/>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62319C"/>
    <w:multiLevelType w:val="hybridMultilevel"/>
    <w:tmpl w:val="B4C0AB06"/>
    <w:lvl w:ilvl="0" w:tplc="2B2C82BC">
      <w:start w:val="1"/>
      <w:numFmt w:val="bullet"/>
      <w:lvlText w:val="-"/>
      <w:lvlJc w:val="left"/>
      <w:pPr>
        <w:ind w:left="2138" w:hanging="360"/>
      </w:pPr>
      <w:rPr>
        <w:rFonts w:ascii="Times New Roman" w:hAnsi="Times New Roman" w:cs="Times New Roman" w:hint="default"/>
      </w:rPr>
    </w:lvl>
    <w:lvl w:ilvl="1" w:tplc="2B2C82BC">
      <w:start w:val="1"/>
      <w:numFmt w:val="bullet"/>
      <w:lvlText w:val="-"/>
      <w:lvlJc w:val="left"/>
      <w:pPr>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0900ED"/>
    <w:multiLevelType w:val="hybridMultilevel"/>
    <w:tmpl w:val="6AB88DFA"/>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463CDA"/>
    <w:rsid w:val="00221754"/>
    <w:rsid w:val="00337E25"/>
    <w:rsid w:val="003E0C8F"/>
    <w:rsid w:val="00436F3B"/>
    <w:rsid w:val="00463CDA"/>
    <w:rsid w:val="005A412C"/>
    <w:rsid w:val="00601FDD"/>
    <w:rsid w:val="00697B4E"/>
    <w:rsid w:val="006F6D97"/>
    <w:rsid w:val="008036D6"/>
    <w:rsid w:val="008715D6"/>
    <w:rsid w:val="008A00C1"/>
    <w:rsid w:val="00A36D5F"/>
    <w:rsid w:val="00AA4954"/>
    <w:rsid w:val="00BE44FE"/>
    <w:rsid w:val="00BF7548"/>
    <w:rsid w:val="00CE1BA9"/>
    <w:rsid w:val="00EE0361"/>
    <w:rsid w:val="00F11632"/>
    <w:rsid w:val="00F17F54"/>
    <w:rsid w:val="00FB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C5A5E-917B-430E-ABC9-14B34298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DA"/>
    <w:pPr>
      <w:widowControl w:val="0"/>
      <w:spacing w:before="200" w:after="0" w:line="278" w:lineRule="auto"/>
      <w:ind w:left="360" w:hanging="24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3CDA"/>
    <w:rPr>
      <w:color w:val="0000FF"/>
      <w:u w:val="single"/>
    </w:rPr>
  </w:style>
  <w:style w:type="paragraph" w:styleId="a4">
    <w:name w:val="Title"/>
    <w:basedOn w:val="a"/>
    <w:link w:val="a5"/>
    <w:qFormat/>
    <w:rsid w:val="00463CDA"/>
    <w:pPr>
      <w:widowControl/>
      <w:spacing w:before="0" w:line="240" w:lineRule="auto"/>
      <w:ind w:left="0" w:firstLine="0"/>
      <w:jc w:val="center"/>
    </w:pPr>
    <w:rPr>
      <w:rFonts w:ascii="Arial Narrow" w:hAnsi="Arial Narrow" w:cs="Arial Narrow"/>
      <w:b/>
      <w:bCs/>
      <w:sz w:val="32"/>
      <w:szCs w:val="32"/>
    </w:rPr>
  </w:style>
  <w:style w:type="character" w:customStyle="1" w:styleId="a5">
    <w:name w:val="Название Знак"/>
    <w:basedOn w:val="a0"/>
    <w:link w:val="a4"/>
    <w:rsid w:val="00463CDA"/>
    <w:rPr>
      <w:rFonts w:ascii="Arial Narrow" w:eastAsia="Times New Roman" w:hAnsi="Arial Narrow" w:cs="Arial Narrow"/>
      <w:b/>
      <w:bCs/>
      <w:sz w:val="32"/>
      <w:szCs w:val="32"/>
      <w:lang w:eastAsia="ru-RU"/>
    </w:rPr>
  </w:style>
  <w:style w:type="paragraph" w:styleId="a6">
    <w:name w:val="Body Text"/>
    <w:basedOn w:val="a"/>
    <w:link w:val="a7"/>
    <w:unhideWhenUsed/>
    <w:rsid w:val="00463CDA"/>
    <w:pPr>
      <w:widowControl/>
      <w:spacing w:before="0" w:line="360" w:lineRule="auto"/>
      <w:ind w:left="0" w:firstLine="0"/>
      <w:jc w:val="center"/>
    </w:pPr>
    <w:rPr>
      <w:rFonts w:ascii="Arial Narrow" w:hAnsi="Arial Narrow" w:cs="Arial Narrow"/>
      <w:b/>
      <w:bCs/>
      <w:i/>
      <w:iCs/>
      <w:sz w:val="36"/>
      <w:szCs w:val="36"/>
    </w:rPr>
  </w:style>
  <w:style w:type="character" w:customStyle="1" w:styleId="a7">
    <w:name w:val="Основной текст Знак"/>
    <w:basedOn w:val="a0"/>
    <w:link w:val="a6"/>
    <w:rsid w:val="00463CDA"/>
    <w:rPr>
      <w:rFonts w:ascii="Arial Narrow" w:eastAsia="Times New Roman" w:hAnsi="Arial Narrow" w:cs="Arial Narrow"/>
      <w:b/>
      <w:bCs/>
      <w:i/>
      <w:iCs/>
      <w:sz w:val="36"/>
      <w:szCs w:val="36"/>
      <w:lang w:eastAsia="ru-RU"/>
    </w:rPr>
  </w:style>
  <w:style w:type="paragraph" w:customStyle="1" w:styleId="ConsPlusCell">
    <w:name w:val="ConsPlusCell"/>
    <w:rsid w:val="00463CDA"/>
    <w:pPr>
      <w:widowControl w:val="0"/>
      <w:autoSpaceDE w:val="0"/>
      <w:autoSpaceDN w:val="0"/>
      <w:adjustRightInd w:val="0"/>
      <w:spacing w:after="0" w:line="240" w:lineRule="auto"/>
    </w:pPr>
    <w:rPr>
      <w:rFonts w:ascii="Arial" w:eastAsia="Calibri" w:hAnsi="Arial" w:cs="Arial"/>
      <w:sz w:val="20"/>
      <w:szCs w:val="20"/>
      <w:lang w:eastAsia="ru-RU"/>
    </w:rPr>
  </w:style>
  <w:style w:type="table" w:styleId="a8">
    <w:name w:val="Table Grid"/>
    <w:basedOn w:val="a1"/>
    <w:rsid w:val="002217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5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1AEAE5544861F0E02767D4717A65088D2C0735066AD8000126076AA4771F407349C6C1FB24E585F579323C6bB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D64BD-E3F8-4221-8D0B-753BDCF6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3730</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Алексей</cp:lastModifiedBy>
  <cp:revision>10</cp:revision>
  <cp:lastPrinted>2016-02-03T11:36:00Z</cp:lastPrinted>
  <dcterms:created xsi:type="dcterms:W3CDTF">2015-03-20T05:53:00Z</dcterms:created>
  <dcterms:modified xsi:type="dcterms:W3CDTF">2016-07-26T06:11:00Z</dcterms:modified>
</cp:coreProperties>
</file>