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4" w:rsidRPr="00DE6D10" w:rsidRDefault="00E55924" w:rsidP="00E55924">
      <w:pPr>
        <w:tabs>
          <w:tab w:val="left" w:pos="1418"/>
        </w:tabs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10030" w:type="dxa"/>
        <w:tblLook w:val="0420" w:firstRow="1" w:lastRow="0" w:firstColumn="0" w:lastColumn="0" w:noHBand="0" w:noVBand="1"/>
      </w:tblPr>
      <w:tblGrid>
        <w:gridCol w:w="3369"/>
        <w:gridCol w:w="1842"/>
        <w:gridCol w:w="4819"/>
      </w:tblGrid>
      <w:tr w:rsidR="00E55924" w:rsidRPr="00DE6D10" w:rsidTr="00B07C2C">
        <w:tc>
          <w:tcPr>
            <w:tcW w:w="3369" w:type="dxa"/>
            <w:shd w:val="clear" w:color="auto" w:fill="auto"/>
          </w:tcPr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Руководитель объекта</w:t>
            </w: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E55924" w:rsidRPr="00DE6D10" w:rsidRDefault="00E55924" w:rsidP="00B07C2C">
            <w:pPr>
              <w:tabs>
                <w:tab w:val="left" w:pos="1418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______________________</w:t>
            </w:r>
          </w:p>
          <w:p w:rsidR="00E55924" w:rsidRPr="00DE6D10" w:rsidRDefault="00E55924" w:rsidP="00B07C2C">
            <w:pPr>
              <w:tabs>
                <w:tab w:val="left" w:pos="1418"/>
              </w:tabs>
              <w:rPr>
                <w:rFonts w:eastAsia="Times New Roman"/>
                <w:sz w:val="28"/>
                <w:szCs w:val="28"/>
              </w:rPr>
            </w:pPr>
          </w:p>
          <w:p w:rsidR="00E55924" w:rsidRPr="00DE6D10" w:rsidRDefault="00E55924" w:rsidP="00B07C2C">
            <w:pPr>
              <w:tabs>
                <w:tab w:val="left" w:pos="1418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_______     ________ 20__</w:t>
            </w:r>
          </w:p>
          <w:p w:rsidR="00E55924" w:rsidRPr="00DE6D10" w:rsidRDefault="00E55924" w:rsidP="00B07C2C">
            <w:pPr>
              <w:tabs>
                <w:tab w:val="left" w:pos="1418"/>
              </w:tabs>
              <w:rPr>
                <w:rFonts w:eastAsia="Times New Roman"/>
                <w:i/>
                <w:sz w:val="20"/>
                <w:szCs w:val="20"/>
              </w:rPr>
            </w:pPr>
            <w:r w:rsidRPr="00DE6D10">
              <w:rPr>
                <w:rFonts w:eastAsia="Times New Roman"/>
                <w:i/>
                <w:sz w:val="20"/>
                <w:szCs w:val="20"/>
              </w:rPr>
              <w:t xml:space="preserve">     подпись                дата</w:t>
            </w:r>
          </w:p>
        </w:tc>
        <w:tc>
          <w:tcPr>
            <w:tcW w:w="1842" w:type="dxa"/>
            <w:shd w:val="clear" w:color="auto" w:fill="auto"/>
          </w:tcPr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Председатель участковой избирательной комиссии избирательного участка № ______</w:t>
            </w: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E55924" w:rsidRPr="00DE6D10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E6D10">
              <w:rPr>
                <w:rFonts w:eastAsia="Times New Roman"/>
                <w:sz w:val="28"/>
                <w:szCs w:val="28"/>
              </w:rPr>
              <w:t>_________    ________20__</w:t>
            </w:r>
          </w:p>
          <w:p w:rsidR="00E55924" w:rsidRPr="00DE6D10" w:rsidRDefault="00E55924" w:rsidP="00B07C2C">
            <w:pPr>
              <w:tabs>
                <w:tab w:val="left" w:pos="1418"/>
              </w:tabs>
              <w:rPr>
                <w:rFonts w:eastAsia="Times New Roman"/>
                <w:i/>
                <w:sz w:val="20"/>
                <w:szCs w:val="20"/>
              </w:rPr>
            </w:pPr>
            <w:r w:rsidRPr="00DE6D10">
              <w:rPr>
                <w:rFonts w:eastAsia="Times New Roman"/>
                <w:i/>
                <w:sz w:val="20"/>
                <w:szCs w:val="20"/>
              </w:rPr>
              <w:t xml:space="preserve">                     подпись                 дата</w:t>
            </w:r>
          </w:p>
        </w:tc>
      </w:tr>
    </w:tbl>
    <w:p w:rsidR="00E55924" w:rsidRPr="00DE6D10" w:rsidRDefault="00E55924" w:rsidP="00E55924">
      <w:pPr>
        <w:tabs>
          <w:tab w:val="left" w:pos="1418"/>
        </w:tabs>
        <w:ind w:firstLine="709"/>
        <w:jc w:val="center"/>
        <w:rPr>
          <w:rFonts w:eastAsia="Times New Roman"/>
          <w:sz w:val="28"/>
          <w:szCs w:val="28"/>
        </w:rPr>
      </w:pPr>
    </w:p>
    <w:p w:rsidR="00E55924" w:rsidRPr="00DE6D10" w:rsidRDefault="00E55924" w:rsidP="00E55924">
      <w:pPr>
        <w:tabs>
          <w:tab w:val="left" w:pos="1418"/>
        </w:tabs>
        <w:jc w:val="center"/>
        <w:rPr>
          <w:rFonts w:eastAsia="Times New Roman"/>
          <w:b/>
          <w:sz w:val="28"/>
          <w:szCs w:val="28"/>
        </w:rPr>
      </w:pPr>
      <w:r w:rsidRPr="00DE6D10">
        <w:rPr>
          <w:rFonts w:eastAsia="Times New Roman"/>
          <w:b/>
          <w:sz w:val="28"/>
          <w:szCs w:val="28"/>
        </w:rPr>
        <w:t>И</w:t>
      </w:r>
      <w:r w:rsidRPr="00DE6D10">
        <w:rPr>
          <w:rFonts w:eastAsia="Times New Roman"/>
          <w:b/>
          <w:bCs/>
          <w:sz w:val="28"/>
          <w:szCs w:val="28"/>
        </w:rPr>
        <w:t>НСТРУК</w:t>
      </w:r>
      <w:bookmarkStart w:id="0" w:name="_GoBack"/>
      <w:bookmarkEnd w:id="0"/>
      <w:r w:rsidRPr="00DE6D10">
        <w:rPr>
          <w:rFonts w:eastAsia="Times New Roman"/>
          <w:b/>
          <w:bCs/>
          <w:sz w:val="28"/>
          <w:szCs w:val="28"/>
        </w:rPr>
        <w:t>ЦИЯ</w:t>
      </w:r>
    </w:p>
    <w:p w:rsidR="00E55924" w:rsidRPr="00DE6D10" w:rsidRDefault="00E55924" w:rsidP="00E55924">
      <w:pPr>
        <w:tabs>
          <w:tab w:val="left" w:pos="1418"/>
        </w:tabs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О МЕРАХ ПОЖАРНОЙ БЕЗОПАСНОСТИ</w:t>
      </w:r>
    </w:p>
    <w:p w:rsidR="00E55924" w:rsidRPr="00DE6D10" w:rsidRDefault="00E55924" w:rsidP="00E55924">
      <w:pPr>
        <w:tabs>
          <w:tab w:val="left" w:pos="1418"/>
        </w:tabs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В ПОМЕЩЕНИИ ДЛЯ ГОЛОСОВАНИЯ</w:t>
      </w:r>
    </w:p>
    <w:p w:rsidR="00E55924" w:rsidRPr="00DE6D10" w:rsidRDefault="00E55924" w:rsidP="00E55924">
      <w:pPr>
        <w:tabs>
          <w:tab w:val="left" w:pos="1418"/>
        </w:tabs>
        <w:ind w:firstLine="709"/>
        <w:rPr>
          <w:rFonts w:eastAsia="Times New Roman"/>
          <w:b/>
          <w:bCs/>
          <w:sz w:val="28"/>
          <w:szCs w:val="28"/>
        </w:rPr>
      </w:pPr>
    </w:p>
    <w:p w:rsidR="00E55924" w:rsidRPr="00DE6D10" w:rsidRDefault="00E55924" w:rsidP="00E55924">
      <w:pPr>
        <w:numPr>
          <w:ilvl w:val="0"/>
          <w:numId w:val="3"/>
        </w:numPr>
        <w:tabs>
          <w:tab w:val="left" w:pos="0"/>
        </w:tabs>
        <w:ind w:left="0" w:hanging="11"/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Общие положения</w:t>
      </w:r>
    </w:p>
    <w:p w:rsidR="00E55924" w:rsidRPr="00DE6D10" w:rsidRDefault="00E55924" w:rsidP="00E55924">
      <w:pPr>
        <w:numPr>
          <w:ilvl w:val="0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Инструкция о мерах пожарной безопасности </w:t>
      </w:r>
      <w:r w:rsidRPr="00DE6D10">
        <w:rPr>
          <w:rFonts w:eastAsia="Times New Roman"/>
          <w:bCs/>
          <w:sz w:val="28"/>
          <w:szCs w:val="28"/>
        </w:rPr>
        <w:t>на избирательном участке</w:t>
      </w:r>
      <w:r w:rsidRPr="00DE6D10">
        <w:rPr>
          <w:rFonts w:eastAsia="Times New Roman"/>
          <w:sz w:val="28"/>
          <w:szCs w:val="28"/>
        </w:rPr>
        <w:t xml:space="preserve"> (далее – Инструкция) устанавливает требования пожарной безопасности для всех предприятий, учреждений и организаций независимо от форм собственности и ведомственной принадлежности, здания и помещения которых используются для размещения помещений для голосования.</w:t>
      </w:r>
    </w:p>
    <w:p w:rsidR="00E55924" w:rsidRPr="00DE6D10" w:rsidRDefault="00E55924" w:rsidP="00E55924">
      <w:pPr>
        <w:numPr>
          <w:ilvl w:val="0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При обеспечении пожарной безопасности наряду с требованиями, изложенными в настоящей Инструкции, необходимо соблюдать Правила противопожарного режима в Российской Федерации, утвержденные </w:t>
      </w:r>
      <w:r w:rsidR="0056266F" w:rsidRPr="00DE6D10">
        <w:rPr>
          <w:rFonts w:eastAsia="Times New Roman"/>
          <w:sz w:val="28"/>
          <w:szCs w:val="28"/>
        </w:rPr>
        <w:t>постановлением Правительства Российской Федерации от 16.09.2020 № 1479,</w:t>
      </w:r>
      <w:r w:rsidRPr="00DE6D10">
        <w:rPr>
          <w:rFonts w:eastAsia="Times New Roman"/>
          <w:sz w:val="28"/>
          <w:szCs w:val="28"/>
        </w:rPr>
        <w:t xml:space="preserve"> требования других нормативных </w:t>
      </w:r>
      <w:proofErr w:type="gramStart"/>
      <w:r w:rsidRPr="00DE6D10">
        <w:rPr>
          <w:rFonts w:eastAsia="Times New Roman"/>
          <w:sz w:val="28"/>
          <w:szCs w:val="28"/>
        </w:rPr>
        <w:t>документов</w:t>
      </w:r>
      <w:proofErr w:type="gramEnd"/>
      <w:r w:rsidRPr="00DE6D10">
        <w:rPr>
          <w:rFonts w:eastAsia="Times New Roman"/>
          <w:sz w:val="28"/>
          <w:szCs w:val="28"/>
        </w:rPr>
        <w:t xml:space="preserve"> по пожарной безопасности исходя из специфики пожарной опасности зданий, помещений, в которых размещены избирательные участки, и мероприятий, проводимых в период работы избирательных участков (демонстрация кино-, видеофильмов, временная торговля и другие мероприятия с массовым пребыванием людей).</w:t>
      </w:r>
    </w:p>
    <w:p w:rsidR="00E55924" w:rsidRPr="00DE6D10" w:rsidRDefault="00E55924" w:rsidP="00E55924">
      <w:pPr>
        <w:numPr>
          <w:ilvl w:val="0"/>
          <w:numId w:val="3"/>
        </w:numPr>
        <w:tabs>
          <w:tab w:val="left" w:pos="0"/>
        </w:tabs>
        <w:spacing w:before="120"/>
        <w:ind w:left="0" w:hanging="11"/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Организационные мероприятия по обеспечению</w:t>
      </w:r>
    </w:p>
    <w:p w:rsidR="00E55924" w:rsidRPr="00DE6D10" w:rsidRDefault="00E55924" w:rsidP="00E55924">
      <w:pPr>
        <w:tabs>
          <w:tab w:val="left" w:pos="0"/>
        </w:tabs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пожарной безопасности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На каждом избирательном участке не </w:t>
      </w:r>
      <w:proofErr w:type="gramStart"/>
      <w:r w:rsidRPr="00DE6D10">
        <w:rPr>
          <w:rFonts w:eastAsia="Times New Roman"/>
          <w:sz w:val="28"/>
          <w:szCs w:val="28"/>
        </w:rPr>
        <w:t>позднее</w:t>
      </w:r>
      <w:proofErr w:type="gramEnd"/>
      <w:r w:rsidRPr="00DE6D10">
        <w:rPr>
          <w:rFonts w:eastAsia="Times New Roman"/>
          <w:sz w:val="28"/>
          <w:szCs w:val="28"/>
        </w:rPr>
        <w:t xml:space="preserve"> чем за 10 дней до начала его работы руководителем (владельцем) объекта (здания), в котором размещено помещение для голосования (далее – руководитель объекта), приказом (инструкцией) должен быть установлен соответствующий противопожарный режим, проведен комплекс противопожарных мероприятий, в том числе: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обеспечены наличие, исправность и постоянная готовность к применению первичных средств пожаротушения, пожарной автоматики, сре</w:t>
      </w:r>
      <w:proofErr w:type="gramStart"/>
      <w:r w:rsidRPr="00DE6D10">
        <w:rPr>
          <w:rFonts w:eastAsia="Times New Roman"/>
          <w:sz w:val="28"/>
          <w:szCs w:val="28"/>
        </w:rPr>
        <w:t>дств св</w:t>
      </w:r>
      <w:proofErr w:type="gramEnd"/>
      <w:r w:rsidRPr="00DE6D10">
        <w:rPr>
          <w:rFonts w:eastAsia="Times New Roman"/>
          <w:sz w:val="28"/>
          <w:szCs w:val="28"/>
        </w:rPr>
        <w:t>язи и оповещения;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назначены ответственные лица за пожарную безопасность соответствующего объекта;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lastRenderedPageBreak/>
        <w:t>проинструктированы под подпись о мерах пожарной безопасности и действиях при пожаре члены участковой избирательной комиссии (далее – УИК) и персонал, привлеченный для работы и обслуживания;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разработаны и вывешены на видных местах поэтажные планы (схемы) эвакуации людей на случай возникновения пожара и инструкции, определяющие действия обслуживающего персонала и членов УИК по обеспечению эвакуации людей, избирательных бюллетеней и имущества; 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определен порядок оповещения людей о пожаре, а также до начала мероприятий проведены учебные тренировки по отработке плана эвакуации и системы оповещения;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определены и оборудованы места для курения;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установлен порядок осмотра и закрытия помещений.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По окончании комплекса противопожарных мероприятий составляется акт о готовности объекта к работе (акт хранится у ответственного за обеспечение пожарной безопасности объекта до окончания работы избирательного участка).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До начала работы избирательного участка руководитель объекта (его представитель) обязан: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тщательно осмотреть все помещения в здании, в котором расположено помещение для голосования; 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обесточить и закрыть на замок все неиспользуемые помещения.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По окончании работы избирательного участка член УИК обязан: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обесточить все электрооборудование,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закрыть окна, форточки;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убедиться в отсутствии источников, способных явиться причиной пожара;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закрыть помещение и сдать ключи на пост охраны.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Каждый член УИК, а также задействованные работники объекта, обязаны: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пройти противопожарный инструктаж о мерах пожарной безопасности;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знать и соблюдать меры пожарной безопасности, в том числе при пользовании оргтехникой, электроприборами и другим имеющимся оборудованием;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поддерживать установленный противопожарный режим;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при обнаружении нарушений правил пожарной безопасности (получение сообщения о них от граждан) немедленно сообщить об этом лицам, ответственным за обеспечение пожарной безопасности, при их </w:t>
      </w:r>
      <w:r w:rsidRPr="00DE6D10">
        <w:rPr>
          <w:rFonts w:eastAsia="Times New Roman"/>
          <w:sz w:val="28"/>
          <w:szCs w:val="28"/>
        </w:rPr>
        <w:lastRenderedPageBreak/>
        <w:t>отсутствии – дежурному по избирательному участку для принятия мер по их немедленному устранению;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уметь пользоваться первичными средствами пожаротушения;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знать план эвакуации людей при пожаре из помещения и этажа здания, на котором они размещены;</w:t>
      </w:r>
    </w:p>
    <w:p w:rsidR="00E55924" w:rsidRPr="00DE6D10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знать свои действия при пожаре.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Ответственность за обеспечение пожарной безопасности зданий (помещений), противопожарное обучение и инструктаж обслуживающего персонала в период подготовки и работы избирательных участков несут руководители (владельцы) этих объектов (зданий, помещений).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jc w:val="both"/>
        <w:rPr>
          <w:rFonts w:eastAsia="Times New Roman"/>
          <w:sz w:val="16"/>
          <w:szCs w:val="16"/>
        </w:rPr>
      </w:pPr>
    </w:p>
    <w:p w:rsidR="00E55924" w:rsidRPr="00DE6D10" w:rsidRDefault="00E55924" w:rsidP="00E55924">
      <w:pPr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DE6D10">
        <w:rPr>
          <w:rFonts w:eastAsia="Times New Roman"/>
          <w:b/>
          <w:bCs/>
          <w:sz w:val="28"/>
          <w:szCs w:val="28"/>
        </w:rPr>
        <w:t>Порядок содержания территории, здания и помещений</w:t>
      </w:r>
    </w:p>
    <w:p w:rsidR="00E55924" w:rsidRPr="00DE6D10" w:rsidRDefault="00E55924" w:rsidP="00E55924">
      <w:pPr>
        <w:tabs>
          <w:tab w:val="left" w:pos="1418"/>
          <w:tab w:val="left" w:pos="1560"/>
        </w:tabs>
        <w:jc w:val="center"/>
        <w:rPr>
          <w:rFonts w:eastAsia="Times New Roman"/>
          <w:b/>
          <w:bCs/>
          <w:sz w:val="16"/>
          <w:szCs w:val="16"/>
        </w:rPr>
      </w:pP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К началу работы УИК руководитель объекта обеспечивает: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свободный подъе</w:t>
      </w:r>
      <w:proofErr w:type="gramStart"/>
      <w:r w:rsidRPr="00DE6D10">
        <w:rPr>
          <w:rFonts w:eastAsia="Times New Roman"/>
          <w:sz w:val="28"/>
          <w:szCs w:val="28"/>
        </w:rPr>
        <w:t>зд к зд</w:t>
      </w:r>
      <w:proofErr w:type="gramEnd"/>
      <w:r w:rsidRPr="00DE6D10">
        <w:rPr>
          <w:rFonts w:eastAsia="Times New Roman"/>
          <w:sz w:val="28"/>
          <w:szCs w:val="28"/>
        </w:rPr>
        <w:t>анию;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очистку от сгораемого мусора территории объекта;</w:t>
      </w:r>
    </w:p>
    <w:p w:rsidR="00E55924" w:rsidRPr="00DE6D10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исправное состояние источников наружного противопожарного водоснабжения (пожарные гидранты, резервуары и водоемы), организует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Пожарные краны внутреннего противопожарного водопровода должны быть 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Помещения объекта должны быть обеспечены углекислотными, порошковыми, пенными или водоэмульсионными огнетушителями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DE6D10">
          <w:rPr>
            <w:rFonts w:eastAsia="Times New Roman"/>
            <w:sz w:val="28"/>
            <w:szCs w:val="28"/>
          </w:rPr>
          <w:t>5 литров</w:t>
        </w:r>
      </w:smartTag>
      <w:r w:rsidRPr="00DE6D10">
        <w:rPr>
          <w:rFonts w:eastAsia="Times New Roman"/>
          <w:sz w:val="28"/>
          <w:szCs w:val="28"/>
        </w:rPr>
        <w:t xml:space="preserve"> из расчета один огнетушитель на 100 кв. м площади (но не менее двух на помещение).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DE6D10">
          <w:rPr>
            <w:rFonts w:eastAsia="Times New Roman"/>
            <w:sz w:val="28"/>
            <w:szCs w:val="28"/>
          </w:rPr>
          <w:t>20 м</w:t>
        </w:r>
      </w:smartTag>
      <w:r w:rsidRPr="00DE6D10">
        <w:rPr>
          <w:rFonts w:eastAsia="Times New Roman"/>
          <w:sz w:val="28"/>
          <w:szCs w:val="28"/>
        </w:rPr>
        <w:t xml:space="preserve">. Огнетушители не должны сужать расчетную ширину путей эвакуации и препятствовать эвакуации людей при пожаре. Огнетушители в помещении должны размещаться: на стенах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E6D10">
          <w:rPr>
            <w:rFonts w:eastAsia="Times New Roman"/>
            <w:sz w:val="28"/>
            <w:szCs w:val="28"/>
          </w:rPr>
          <w:t>1,5 м</w:t>
        </w:r>
      </w:smartTag>
      <w:r w:rsidRPr="00DE6D10">
        <w:rPr>
          <w:rFonts w:eastAsia="Times New Roman"/>
          <w:sz w:val="28"/>
          <w:szCs w:val="28"/>
        </w:rPr>
        <w:t xml:space="preserve"> от уровня пола до верха огнетушителя, в шкафах, предназначенных для их размещения, или устанавливаться в тумбах на полу на расстоянии не менее </w:t>
      </w:r>
      <w:smartTag w:uri="urn:schemas-microsoft-com:office:smarttags" w:element="metricconverter">
        <w:smartTagPr>
          <w:attr w:name="ProductID" w:val="1,2 м"/>
        </w:smartTagPr>
        <w:r w:rsidRPr="00DE6D10">
          <w:rPr>
            <w:rFonts w:eastAsia="Times New Roman"/>
            <w:sz w:val="28"/>
            <w:szCs w:val="28"/>
          </w:rPr>
          <w:t>1,2 м</w:t>
        </w:r>
      </w:smartTag>
      <w:r w:rsidRPr="00DE6D10">
        <w:rPr>
          <w:rFonts w:eastAsia="Times New Roman"/>
          <w:sz w:val="28"/>
          <w:szCs w:val="28"/>
        </w:rPr>
        <w:t xml:space="preserve"> от края двери при ее открывании. Места размещения огнетушителей следует обозначать табличками с надписями или знаками. 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lastRenderedPageBreak/>
        <w:t>Установки пожарной автоматики должны находиться в исправном состоянии, постоянной готовности и работать в дежурном режиме все время функционирования избирательного участка.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Курение в помещении для голосования и в здании, где расположено это помещение, запрещается.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Помещение для голосования должно быть обеспечено телефонной связью. У каждого телефонного аппарата следует устанавливать (вывешивать) таблички с номером телефона ближайшего пожарно-спасательного подразделения.</w:t>
      </w:r>
    </w:p>
    <w:p w:rsidR="00043B22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Расстановка кабин для голосования, ящиков для голосования и другого технологического оборудования, предназначенного для голосования, должна осуществляться по периметру помещения с учетом обеспечения безопасной эвакуации людей и материальных ценностей.</w:t>
      </w:r>
      <w:r w:rsidR="00DE6D10" w:rsidRPr="004B3D5D">
        <w:rPr>
          <w:rFonts w:eastAsia="Times New Roman"/>
          <w:sz w:val="28"/>
          <w:szCs w:val="28"/>
        </w:rPr>
        <w:t xml:space="preserve"> </w:t>
      </w:r>
    </w:p>
    <w:p w:rsidR="00E55924" w:rsidRPr="004B3D5D" w:rsidRDefault="00DE6D10" w:rsidP="00A56FB6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Руководитель организации при размещении в помещениях и на путях эвакуации (за исключением лестниц и лестничных клеток) технологического, выставочного и другого оборудования, а также сидячих мест для ожидания обеспечивает геометрические параметры эвакуационных путей, установленные требованиями пожарной безопасности.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В здании, в котором расположено помещение для голосования, за 2 дня до проведения голосования и в день голосования не допускается проведение строительных, ремонтных и других работ, связанных с использованием открытого огня (разведение костров, сжигание мусора, отходов, тары и проведение электрогазосварочных работ). 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 xml:space="preserve">В здании (помещении для голосования) должно быть не менее двух эвакуационных выходов (в случае если не обеспечивается единовременное пребывание в данных помещениях более 50 человек). 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В коридорах на путях эвакуации, рядом с помещением для голосования должны быть вывешены планы эвакуации людей при пожаре, на котором должны быть обозначены места хранения первичных средств пожаротушения.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Пути эвакуации должны содержаться свободными и не загромождаться.</w:t>
      </w:r>
    </w:p>
    <w:p w:rsidR="00E55924" w:rsidRPr="00DE6D10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E6D10">
        <w:rPr>
          <w:rFonts w:eastAsia="Times New Roman"/>
          <w:sz w:val="28"/>
          <w:szCs w:val="28"/>
        </w:rPr>
        <w:t>Количество людей, находящихся в помещениях избирательного участка, должно ограничиваться исходя из площади помещения и пропускной способности путей эвакуации. Допустимое (предельно) количество людей, которые одновременно могут находиться на объекте, составляет ______ человек.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9E2BFF" w:rsidRPr="004B3D5D" w:rsidRDefault="009E2BFF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B3D5D">
        <w:rPr>
          <w:rFonts w:eastAsia="Times New Roman"/>
          <w:sz w:val="28"/>
          <w:szCs w:val="28"/>
        </w:rPr>
        <w:t xml:space="preserve"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</w:t>
      </w:r>
      <w:r w:rsidRPr="004B3D5D">
        <w:rPr>
          <w:rFonts w:eastAsia="Times New Roman"/>
          <w:sz w:val="28"/>
          <w:szCs w:val="28"/>
        </w:rPr>
        <w:lastRenderedPageBreak/>
        <w:t>решений, позволяющих вручную открыть и заблокировать в открытом состоянии</w:t>
      </w:r>
      <w:proofErr w:type="gramEnd"/>
      <w:r w:rsidRPr="004B3D5D">
        <w:rPr>
          <w:rFonts w:eastAsia="Times New Roman"/>
          <w:sz w:val="28"/>
          <w:szCs w:val="28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9E2BFF" w:rsidRPr="004B3D5D" w:rsidRDefault="009E2BFF" w:rsidP="009E2BFF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B3D5D">
        <w:rPr>
          <w:rFonts w:eastAsia="Times New Roman"/>
          <w:sz w:val="28"/>
          <w:szCs w:val="28"/>
        </w:rPr>
        <w:t>размещать мебель (за исключением сидячих мест для ожидания) и предметы (за исключением технологического, выставочного и другого оборудования) на путях эвакуации, у дверей эвакуационных и аварийных выходов, в переходах между секциями, у выходов на крышу (покрытие), а также демонтировать лестницы, поэтажно соединяющие балконы и лоджии, лестницы в приямках, блокировать люки на балконах и лоджиях квартир;</w:t>
      </w:r>
      <w:proofErr w:type="gramEnd"/>
    </w:p>
    <w:p w:rsidR="009E2BFF" w:rsidRPr="004B3D5D" w:rsidRDefault="009E2BFF" w:rsidP="009E2BFF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E2BFF" w:rsidRPr="004B3D5D" w:rsidRDefault="009E2BFF" w:rsidP="009E2BFF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9E2BFF" w:rsidRPr="004B3D5D" w:rsidRDefault="009E2BFF" w:rsidP="009E2BFF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Запоры на дверях эвакуационных выходов должны обеспечивать возможность их свободного открывания изнутри без ключа. Двери эвакуационных выходов должны открываться </w:t>
      </w:r>
      <w:r w:rsidR="00F05D45" w:rsidRPr="004B3D5D">
        <w:rPr>
          <w:rFonts w:eastAsia="Times New Roman"/>
          <w:sz w:val="28"/>
          <w:szCs w:val="28"/>
        </w:rPr>
        <w:t>по направлению выхода из здания, за исключением случаев установленных нормативными документами по пожарной безопасности.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Световые указатели «Выход» эвакуационных выходов должны находиться в исправном состоянии и быть включенными на время работы избирательного участка. 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В помещениях избирательного участка на случай отключения электроэнергии должны быть электрические фонари. Количество и место хранения фонарей определяет председатель УИК исходя из количества избирателей, но не менее одного на каждого дежурного по избирательному участку. 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При эксплуатации электрооборудования не допускается: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Pr="004B3D5D">
        <w:rPr>
          <w:rFonts w:eastAsia="Times New Roman"/>
          <w:sz w:val="28"/>
          <w:szCs w:val="28"/>
        </w:rPr>
        <w:t>рассеивателями</w:t>
      </w:r>
      <w:proofErr w:type="spellEnd"/>
      <w:r w:rsidRPr="004B3D5D">
        <w:rPr>
          <w:rFonts w:eastAsia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пользоваться электрическими утюгами, электрическими плитками, электрическими чайниками и другими электронагревательными приборами, </w:t>
      </w:r>
      <w:r w:rsidRPr="004B3D5D">
        <w:rPr>
          <w:rFonts w:eastAsia="Times New Roman"/>
          <w:sz w:val="28"/>
          <w:szCs w:val="28"/>
        </w:rPr>
        <w:lastRenderedPageBreak/>
        <w:t>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использовать нестандартные (самодельные)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размещать (складировать) в </w:t>
      </w:r>
      <w:proofErr w:type="spellStart"/>
      <w:r w:rsidRPr="004B3D5D">
        <w:rPr>
          <w:rFonts w:eastAsia="Times New Roman"/>
          <w:sz w:val="28"/>
          <w:szCs w:val="28"/>
        </w:rPr>
        <w:t>электрощитовых</w:t>
      </w:r>
      <w:proofErr w:type="spellEnd"/>
      <w:r w:rsidRPr="004B3D5D">
        <w:rPr>
          <w:rFonts w:eastAsia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электроприборов, в том числе при проведении аварийных и других строительно-монтажных и реставрационных работ, а также при включении </w:t>
      </w:r>
      <w:proofErr w:type="spellStart"/>
      <w:r w:rsidRPr="004B3D5D">
        <w:rPr>
          <w:rFonts w:eastAsia="Times New Roman"/>
          <w:sz w:val="28"/>
          <w:szCs w:val="28"/>
        </w:rPr>
        <w:t>электроподогрева</w:t>
      </w:r>
      <w:proofErr w:type="spellEnd"/>
      <w:r w:rsidRPr="004B3D5D">
        <w:rPr>
          <w:rFonts w:eastAsia="Times New Roman"/>
          <w:sz w:val="28"/>
          <w:szCs w:val="28"/>
        </w:rPr>
        <w:t xml:space="preserve"> автотранспорта;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D44D35" w:rsidRPr="004B3D5D" w:rsidRDefault="00D44D35" w:rsidP="00D44D35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Размещать помещения для голосования следует, как правило, в зданиях (помещениях) с системой центрального отопления.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При использовании для размещения помещения для голосования зданий (помещений) с печным отоплением техническое состояние печей, дымоходов и противопожарных разделок должно соответствовать требованиям противопожарных норм. В период подготовки к работе избирательного участка печи должны быть проверены и отремонтированы, дымоходы очищены от сажи. Руководитель (владелец) объекта (здания, помещения) должен назначить и проинструктировать лиц, ответственных за эксплуатацию печного отопления.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Топка отопительных печей должна прекращаться не менее чем за 2 часа до окончания работы избирательного участка. Топочные отверстия данных печей не должны выходить в помещения для голосования, а также в помещения проведения мероприятий с массовым пребыванием людей (временная торговля и пр.).</w:t>
      </w:r>
    </w:p>
    <w:p w:rsidR="00E55924" w:rsidRPr="004B3D5D" w:rsidRDefault="00C34F6C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При эксплуатации печного отопления запрещается: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4B3D5D">
        <w:rPr>
          <w:rFonts w:eastAsia="Times New Roman"/>
          <w:sz w:val="28"/>
          <w:szCs w:val="28"/>
        </w:rPr>
        <w:t>другие</w:t>
      </w:r>
      <w:proofErr w:type="gramEnd"/>
      <w:r w:rsidRPr="004B3D5D">
        <w:rPr>
          <w:rFonts w:eastAsia="Times New Roman"/>
          <w:sz w:val="28"/>
          <w:szCs w:val="28"/>
        </w:rPr>
        <w:t xml:space="preserve"> легковоспламеняющиеся и горючие жидкости;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lastRenderedPageBreak/>
        <w:t>топить углем, коксом и газом печи, не предназначенные для этих видов топлива;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использовать вентиляционные и газовые каналы в качестве дымоходов;</w:t>
      </w:r>
    </w:p>
    <w:p w:rsidR="00E00ABC" w:rsidRPr="004B3D5D" w:rsidRDefault="00E00ABC" w:rsidP="00E00ABC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перекаливать печи.</w:t>
      </w:r>
    </w:p>
    <w:p w:rsidR="00E55924" w:rsidRPr="004B3D5D" w:rsidRDefault="00E55924" w:rsidP="00E55924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55924" w:rsidRPr="004B3D5D" w:rsidRDefault="00E55924" w:rsidP="00E55924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rFonts w:eastAsia="Times New Roman"/>
          <w:sz w:val="18"/>
          <w:szCs w:val="18"/>
        </w:rPr>
      </w:pPr>
    </w:p>
    <w:p w:rsidR="00E55924" w:rsidRPr="004B3D5D" w:rsidRDefault="00E55924" w:rsidP="00E55924">
      <w:pPr>
        <w:numPr>
          <w:ilvl w:val="0"/>
          <w:numId w:val="2"/>
        </w:numPr>
        <w:tabs>
          <w:tab w:val="left" w:pos="1418"/>
          <w:tab w:val="left" w:pos="1560"/>
        </w:tabs>
        <w:spacing w:before="120"/>
        <w:ind w:left="0" w:firstLine="709"/>
        <w:contextualSpacing/>
        <w:jc w:val="center"/>
        <w:rPr>
          <w:rFonts w:eastAsia="Times New Roman"/>
          <w:sz w:val="28"/>
          <w:szCs w:val="28"/>
        </w:rPr>
      </w:pPr>
      <w:r w:rsidRPr="004B3D5D">
        <w:rPr>
          <w:rFonts w:eastAsia="Times New Roman"/>
          <w:b/>
          <w:bCs/>
          <w:sz w:val="28"/>
          <w:szCs w:val="28"/>
        </w:rPr>
        <w:t>Обязанности и действия членов УИК</w:t>
      </w:r>
    </w:p>
    <w:p w:rsidR="00E55924" w:rsidRPr="004B3D5D" w:rsidRDefault="00E55924" w:rsidP="00E55924">
      <w:pPr>
        <w:tabs>
          <w:tab w:val="left" w:pos="1418"/>
          <w:tab w:val="left" w:pos="1560"/>
        </w:tabs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4B3D5D">
        <w:rPr>
          <w:rFonts w:eastAsia="Times New Roman"/>
          <w:b/>
          <w:bCs/>
          <w:sz w:val="28"/>
          <w:szCs w:val="28"/>
        </w:rPr>
        <w:t>при пожаре</w:t>
      </w:r>
    </w:p>
    <w:p w:rsidR="00E55924" w:rsidRPr="004B3D5D" w:rsidRDefault="00E55924" w:rsidP="00E55924">
      <w:pPr>
        <w:tabs>
          <w:tab w:val="left" w:pos="1418"/>
          <w:tab w:val="left" w:pos="1560"/>
        </w:tabs>
        <w:ind w:firstLine="709"/>
        <w:contextualSpacing/>
        <w:jc w:val="center"/>
        <w:rPr>
          <w:rFonts w:eastAsia="Times New Roman"/>
          <w:sz w:val="16"/>
          <w:szCs w:val="16"/>
        </w:rPr>
      </w:pP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Для обеспечения координации действий при возникновении пожара назначаются ответственные лица по направлениям.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Ответственным за противопожарную безопасность в помещениях УИК и в помещении для голосования назначается</w:t>
      </w:r>
    </w:p>
    <w:p w:rsidR="00E55924" w:rsidRPr="004B3D5D" w:rsidRDefault="00E55924" w:rsidP="00E55924">
      <w:pPr>
        <w:tabs>
          <w:tab w:val="left" w:pos="1418"/>
          <w:tab w:val="left" w:pos="1560"/>
        </w:tabs>
        <w:jc w:val="center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____________________________________________________________.</w:t>
      </w:r>
    </w:p>
    <w:p w:rsidR="00E55924" w:rsidRPr="004B3D5D" w:rsidRDefault="00E55924" w:rsidP="00E55924">
      <w:pPr>
        <w:tabs>
          <w:tab w:val="left" w:pos="1418"/>
          <w:tab w:val="left" w:pos="1560"/>
        </w:tabs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4B3D5D">
        <w:rPr>
          <w:rFonts w:eastAsia="Times New Roman"/>
          <w:i/>
          <w:iCs/>
          <w:sz w:val="20"/>
          <w:szCs w:val="20"/>
        </w:rPr>
        <w:t>(фамилия, имя, отчество)</w:t>
      </w:r>
    </w:p>
    <w:p w:rsidR="00E55924" w:rsidRPr="004B3D5D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4B3D5D">
        <w:rPr>
          <w:rFonts w:eastAsia="Times New Roman"/>
          <w:sz w:val="28"/>
          <w:szCs w:val="28"/>
        </w:rPr>
        <w:t>Ответственный за сообщение о возникновении пожара в пожарную охрану и оповещение (информирование) руководства и дежурных служб объекта</w:t>
      </w:r>
    </w:p>
    <w:p w:rsidR="00E55924" w:rsidRPr="007869AE" w:rsidRDefault="00E55924" w:rsidP="00E55924">
      <w:pPr>
        <w:tabs>
          <w:tab w:val="left" w:pos="1418"/>
          <w:tab w:val="left" w:pos="1560"/>
        </w:tabs>
        <w:jc w:val="center"/>
        <w:rPr>
          <w:rFonts w:eastAsia="Times New Roman"/>
          <w:i/>
          <w:iCs/>
          <w:sz w:val="28"/>
          <w:szCs w:val="28"/>
        </w:rPr>
      </w:pPr>
      <w:r w:rsidRPr="007869AE">
        <w:rPr>
          <w:rFonts w:eastAsia="Times New Roman"/>
          <w:i/>
          <w:iCs/>
          <w:sz w:val="28"/>
          <w:szCs w:val="28"/>
        </w:rPr>
        <w:t>____________________________________________________________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7869AE">
        <w:rPr>
          <w:rFonts w:eastAsia="Times New Roman"/>
          <w:i/>
          <w:iCs/>
          <w:sz w:val="20"/>
          <w:szCs w:val="20"/>
        </w:rPr>
        <w:t>(фамилия, имя, отчество)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незамедлительно сообщает об этом в пожарную охрану по телефонам ___________, при этом называет точный адрес объекта, место возникновения пожара, наличие и количество в здании людей, а также свою фамилию.</w:t>
      </w:r>
    </w:p>
    <w:p w:rsidR="00E55924" w:rsidRPr="007869AE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Ответственный за организацию эвакуации и спасения людей с использованием для этого имеющихся сил и средств, в том числе за оказание первой помощи пострадавшим,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rPr>
          <w:rFonts w:eastAsia="Times New Roman"/>
          <w:i/>
          <w:iCs/>
          <w:sz w:val="28"/>
          <w:szCs w:val="28"/>
        </w:rPr>
      </w:pPr>
      <w:r w:rsidRPr="007869AE">
        <w:rPr>
          <w:rFonts w:eastAsia="Times New Roman"/>
          <w:i/>
          <w:iCs/>
          <w:sz w:val="28"/>
          <w:szCs w:val="28"/>
        </w:rPr>
        <w:t>____________________________________________________________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7869AE">
        <w:rPr>
          <w:rFonts w:eastAsia="Times New Roman"/>
          <w:i/>
          <w:iCs/>
          <w:sz w:val="20"/>
          <w:szCs w:val="20"/>
        </w:rPr>
        <w:t>(фамилия, имя, отчество)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 xml:space="preserve">немедленно оповещает членов УИК и посетителей о возникшем пожаре и организует их эвакуацию в безопасное место; 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 xml:space="preserve">при эвакуации из помещения закрывает окна, двери; 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в ходе эвакуации оповещает людей о пожаре.</w:t>
      </w:r>
    </w:p>
    <w:p w:rsidR="00E55924" w:rsidRPr="007869AE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 xml:space="preserve">Ответственный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7869AE">
        <w:rPr>
          <w:rFonts w:eastAsia="Times New Roman"/>
          <w:sz w:val="28"/>
          <w:szCs w:val="28"/>
        </w:rPr>
        <w:t>противодымной</w:t>
      </w:r>
      <w:proofErr w:type="spellEnd"/>
      <w:r w:rsidRPr="007869AE">
        <w:rPr>
          <w:rFonts w:eastAsia="Times New Roman"/>
          <w:sz w:val="28"/>
          <w:szCs w:val="28"/>
        </w:rPr>
        <w:t xml:space="preserve"> защиты)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ind w:left="432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____________________________________________________________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ind w:left="432"/>
        <w:contextualSpacing/>
        <w:jc w:val="center"/>
        <w:rPr>
          <w:rFonts w:eastAsia="Times New Roman"/>
          <w:i/>
          <w:sz w:val="20"/>
          <w:szCs w:val="20"/>
        </w:rPr>
      </w:pPr>
      <w:r w:rsidRPr="007869AE">
        <w:rPr>
          <w:rFonts w:eastAsia="Times New Roman"/>
          <w:i/>
          <w:sz w:val="20"/>
          <w:szCs w:val="20"/>
        </w:rPr>
        <w:t>(фамилия, имя, отчество)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 xml:space="preserve">при необходимости пользуется ручным пожарным </w:t>
      </w:r>
      <w:proofErr w:type="spellStart"/>
      <w:r w:rsidRPr="007869AE">
        <w:rPr>
          <w:rFonts w:eastAsia="Times New Roman"/>
          <w:sz w:val="28"/>
          <w:szCs w:val="28"/>
        </w:rPr>
        <w:t>извещателем</w:t>
      </w:r>
      <w:proofErr w:type="spellEnd"/>
      <w:r w:rsidRPr="007869AE">
        <w:rPr>
          <w:rFonts w:eastAsia="Times New Roman"/>
          <w:sz w:val="28"/>
          <w:szCs w:val="28"/>
        </w:rPr>
        <w:t>.</w:t>
      </w:r>
    </w:p>
    <w:p w:rsidR="00E55924" w:rsidRPr="007869AE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Ответственным за организацию защиты избирательных документов, в том числе избирательных бюллетеней, и материальных ценностей назначается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7869AE">
        <w:rPr>
          <w:rFonts w:eastAsia="Times New Roman"/>
          <w:i/>
          <w:iCs/>
          <w:sz w:val="28"/>
          <w:szCs w:val="28"/>
        </w:rPr>
        <w:t>____________________________________________________________.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7869AE">
        <w:rPr>
          <w:rFonts w:eastAsia="Times New Roman"/>
          <w:i/>
          <w:iCs/>
          <w:sz w:val="20"/>
          <w:szCs w:val="20"/>
        </w:rPr>
        <w:t>(фамилия, имя, отчество)</w:t>
      </w:r>
    </w:p>
    <w:p w:rsidR="00E55924" w:rsidRPr="007869AE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 xml:space="preserve">Ответственным за встречу подразделений пожарной охраны 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7869AE">
        <w:rPr>
          <w:rFonts w:eastAsia="Times New Roman"/>
          <w:i/>
          <w:iCs/>
          <w:sz w:val="28"/>
          <w:szCs w:val="28"/>
        </w:rPr>
        <w:t>____________________________________________________________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7869AE">
        <w:rPr>
          <w:rFonts w:eastAsia="Times New Roman"/>
          <w:i/>
          <w:iCs/>
          <w:sz w:val="20"/>
          <w:szCs w:val="20"/>
        </w:rPr>
        <w:lastRenderedPageBreak/>
        <w:t>(фамилия, имя, отчество)</w:t>
      </w:r>
    </w:p>
    <w:p w:rsidR="00E55924" w:rsidRPr="007869AE" w:rsidRDefault="00E55924" w:rsidP="00E55924">
      <w:pPr>
        <w:tabs>
          <w:tab w:val="left" w:pos="1418"/>
          <w:tab w:val="left" w:pos="1560"/>
          <w:tab w:val="left" w:pos="2127"/>
        </w:tabs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информирует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сообщает другие сведения, необходимые для успешной ликвидации пожара.</w:t>
      </w:r>
    </w:p>
    <w:p w:rsidR="00E55924" w:rsidRPr="007869AE" w:rsidRDefault="00E55924" w:rsidP="00E55924">
      <w:pPr>
        <w:numPr>
          <w:ilvl w:val="1"/>
          <w:numId w:val="2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Ответственным за осуществление общего руководства по тушению пожара до прибытия подразделения пожарной охраны назначается</w:t>
      </w:r>
    </w:p>
    <w:p w:rsidR="00E55924" w:rsidRPr="007869AE" w:rsidRDefault="00E55924" w:rsidP="00E55924">
      <w:pPr>
        <w:tabs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7869AE">
        <w:rPr>
          <w:rFonts w:eastAsia="Times New Roman"/>
          <w:sz w:val="28"/>
          <w:szCs w:val="28"/>
        </w:rPr>
        <w:t>____________________________________________________________.</w:t>
      </w:r>
    </w:p>
    <w:p w:rsidR="00E55924" w:rsidRPr="007869AE" w:rsidRDefault="00E55924" w:rsidP="00E55924">
      <w:pPr>
        <w:tabs>
          <w:tab w:val="left" w:pos="1418"/>
        </w:tabs>
        <w:ind w:firstLine="709"/>
        <w:jc w:val="center"/>
        <w:rPr>
          <w:rFonts w:eastAsia="Times New Roman"/>
          <w:i/>
          <w:sz w:val="20"/>
          <w:szCs w:val="20"/>
        </w:rPr>
      </w:pPr>
      <w:r w:rsidRPr="007869AE">
        <w:rPr>
          <w:rFonts w:eastAsia="Times New Roman"/>
          <w:i/>
          <w:sz w:val="20"/>
          <w:szCs w:val="20"/>
        </w:rPr>
        <w:t>(фамилия, имя, отчество)</w:t>
      </w:r>
    </w:p>
    <w:p w:rsidR="00E55924" w:rsidRPr="007869AE" w:rsidRDefault="00E55924" w:rsidP="00E55924">
      <w:pPr>
        <w:rPr>
          <w:rFonts w:eastAsia="Times New Roman"/>
          <w:b/>
          <w:bCs/>
          <w:sz w:val="28"/>
          <w:szCs w:val="28"/>
        </w:rPr>
      </w:pPr>
      <w:r w:rsidRPr="007869AE">
        <w:rPr>
          <w:rFonts w:eastAsia="Times New Roman"/>
          <w:b/>
          <w:bCs/>
          <w:sz w:val="28"/>
          <w:szCs w:val="28"/>
        </w:rPr>
        <w:br w:type="page"/>
      </w:r>
    </w:p>
    <w:p w:rsidR="00E55924" w:rsidRPr="0012744A" w:rsidRDefault="00E55924" w:rsidP="00E55924">
      <w:pPr>
        <w:tabs>
          <w:tab w:val="left" w:pos="1418"/>
        </w:tabs>
        <w:spacing w:after="12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2744A">
        <w:rPr>
          <w:rFonts w:eastAsia="Times New Roman"/>
          <w:b/>
          <w:bCs/>
          <w:sz w:val="28"/>
          <w:szCs w:val="28"/>
        </w:rPr>
        <w:lastRenderedPageBreak/>
        <w:t xml:space="preserve">С </w:t>
      </w:r>
      <w:r w:rsidR="0012744A" w:rsidRPr="0012744A">
        <w:rPr>
          <w:rFonts w:eastAsia="Times New Roman"/>
          <w:b/>
          <w:bCs/>
          <w:sz w:val="28"/>
          <w:szCs w:val="28"/>
        </w:rPr>
        <w:t xml:space="preserve">требованиями </w:t>
      </w:r>
      <w:r w:rsidRPr="0012744A">
        <w:rPr>
          <w:rFonts w:eastAsia="Times New Roman"/>
          <w:b/>
          <w:bCs/>
          <w:sz w:val="28"/>
          <w:szCs w:val="28"/>
        </w:rPr>
        <w:t>правил пожарной безопасности ознакомлены члены УИК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033"/>
        <w:gridCol w:w="1985"/>
        <w:gridCol w:w="1842"/>
      </w:tblGrid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12744A" w:rsidRDefault="00E55924" w:rsidP="00B07C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</w:rPr>
            </w:pPr>
            <w:r w:rsidRPr="0012744A">
              <w:rPr>
                <w:rFonts w:eastAsia="Times New Roman"/>
                <w:b/>
                <w:bCs/>
              </w:rPr>
              <w:t>№</w:t>
            </w:r>
          </w:p>
          <w:p w:rsidR="00E55924" w:rsidRPr="0012744A" w:rsidRDefault="00E55924" w:rsidP="00B07C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</w:rPr>
            </w:pPr>
            <w:r w:rsidRPr="0012744A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E55924" w:rsidRPr="0012744A" w:rsidRDefault="00E55924" w:rsidP="00B07C2C">
            <w:pPr>
              <w:tabs>
                <w:tab w:val="left" w:pos="1418"/>
              </w:tabs>
              <w:ind w:firstLine="709"/>
              <w:jc w:val="center"/>
              <w:rPr>
                <w:rFonts w:eastAsia="Times New Roman"/>
                <w:b/>
              </w:rPr>
            </w:pPr>
            <w:r w:rsidRPr="0012744A"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924" w:rsidRPr="0012744A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b/>
                <w:bCs/>
              </w:rPr>
            </w:pPr>
            <w:r w:rsidRPr="0012744A">
              <w:rPr>
                <w:rFonts w:eastAsia="Times New Roman"/>
                <w:b/>
                <w:bCs/>
              </w:rPr>
              <w:t>Подпись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jc w:val="center"/>
              <w:rPr>
                <w:rFonts w:eastAsia="Times New Roman"/>
                <w:b/>
                <w:bCs/>
              </w:rPr>
            </w:pPr>
            <w:r w:rsidRPr="0012744A">
              <w:rPr>
                <w:rFonts w:eastAsia="Times New Roman"/>
                <w:b/>
                <w:bCs/>
              </w:rPr>
              <w:t>Дата</w:t>
            </w: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E55924" w:rsidRPr="00811852" w:rsidTr="00B07C2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  <w:p w:rsidR="00E55924" w:rsidRPr="00811852" w:rsidRDefault="00E55924" w:rsidP="00B07C2C">
            <w:pPr>
              <w:tabs>
                <w:tab w:val="left" w:pos="1418"/>
              </w:tabs>
              <w:ind w:left="-156" w:firstLine="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ind w:firstLine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24" w:rsidRPr="00811852" w:rsidRDefault="00E55924" w:rsidP="00B07C2C">
            <w:pPr>
              <w:tabs>
                <w:tab w:val="left" w:pos="1418"/>
              </w:tabs>
              <w:jc w:val="both"/>
              <w:rPr>
                <w:rFonts w:eastAsia="Times New Roman"/>
                <w:bCs/>
              </w:rPr>
            </w:pPr>
          </w:p>
        </w:tc>
      </w:tr>
    </w:tbl>
    <w:p w:rsidR="00E55924" w:rsidRPr="00811852" w:rsidRDefault="00E55924" w:rsidP="00E55924">
      <w:pPr>
        <w:rPr>
          <w:rFonts w:eastAsia="Times New Roman"/>
          <w:b/>
          <w:sz w:val="28"/>
          <w:szCs w:val="28"/>
        </w:rPr>
      </w:pPr>
    </w:p>
    <w:p w:rsidR="00E55924" w:rsidRPr="00811852" w:rsidRDefault="00E55924" w:rsidP="00E55924">
      <w:pPr>
        <w:rPr>
          <w:rFonts w:eastAsia="Times New Roman"/>
          <w:b/>
          <w:sz w:val="28"/>
          <w:szCs w:val="28"/>
        </w:rPr>
      </w:pPr>
    </w:p>
    <w:sectPr w:rsidR="00E55924" w:rsidRPr="00811852" w:rsidSect="00D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4"/>
    <w:rsid w:val="00043B22"/>
    <w:rsid w:val="0012744A"/>
    <w:rsid w:val="001E642F"/>
    <w:rsid w:val="0026488C"/>
    <w:rsid w:val="0035643D"/>
    <w:rsid w:val="004A3ECD"/>
    <w:rsid w:val="004B3D5D"/>
    <w:rsid w:val="0050035B"/>
    <w:rsid w:val="0056266F"/>
    <w:rsid w:val="00594446"/>
    <w:rsid w:val="006F4FFB"/>
    <w:rsid w:val="00786147"/>
    <w:rsid w:val="007869AE"/>
    <w:rsid w:val="008112F9"/>
    <w:rsid w:val="00987CFC"/>
    <w:rsid w:val="00996556"/>
    <w:rsid w:val="009E2BFF"/>
    <w:rsid w:val="00A56FB6"/>
    <w:rsid w:val="00A82ED1"/>
    <w:rsid w:val="00C34F6C"/>
    <w:rsid w:val="00D204E7"/>
    <w:rsid w:val="00D44D35"/>
    <w:rsid w:val="00DD0EA3"/>
    <w:rsid w:val="00DE6D10"/>
    <w:rsid w:val="00E00ABC"/>
    <w:rsid w:val="00E55924"/>
    <w:rsid w:val="00E83B86"/>
    <w:rsid w:val="00F05D45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2BF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44D35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D44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2BF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44D35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D4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49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39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21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6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2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2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ОНДПР</cp:lastModifiedBy>
  <cp:revision>2</cp:revision>
  <dcterms:created xsi:type="dcterms:W3CDTF">2024-03-04T05:58:00Z</dcterms:created>
  <dcterms:modified xsi:type="dcterms:W3CDTF">2024-03-04T05:58:00Z</dcterms:modified>
</cp:coreProperties>
</file>