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60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ФАС России органам исполнительной власти субъектов</w:t>
        <w:br/>
        <w:t>Российской Федерации по внедрению Требования «Проведение</w:t>
        <w:br/>
        <w:t>мониторинга состояния и развития конкурентной среды на рынках</w:t>
        <w:br/>
        <w:t>товаров и услуг региона» Стандарта развития конкуренции</w:t>
        <w:br/>
        <w:t>в субъектах Российской Федерации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Стандарт развития конкуренции в субъектах Российской Федерации (далее - Стандарт) разработан во исполнение плана мероприятий «дорожной карты» «Развитие конкуренции и совершенствование антимонопольной политики», утвержденного распоряжением Правительства Российской Федерации от 28.12.2012 № 2579-р. Стандарт утвержден Первым заместителем Председателя Правительства Российской Федерации И.И. Шуваловым ИШ- П13-2189 от 02.04.2014.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состояния и развития конкурентной среды на рынках товаров и услуг региона, организация проведения которого возложена в соответствии с требованием 5 Стандарта на уполномоченный орган исполнительной власти субъекта Российской Федерации по содействию развитию конкуренции в регионе (далее - Уполномоченный орган), включает в себя:</w:t>
      </w:r>
    </w:p>
    <w:p>
      <w:pPr>
        <w:pStyle w:val="Style12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административных барьеров и оценки состояния конкурентной среды субъектами предпринимательской деятельности;</w:t>
      </w:r>
    </w:p>
    <w:p>
      <w:pPr>
        <w:pStyle w:val="Style12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удовлетворенности потребителей качеством товаров и услуг на товарных рынках региона и состоянием ценовой конкуренции;</w:t>
      </w:r>
    </w:p>
    <w:p>
      <w:pPr>
        <w:pStyle w:val="Style12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региона и деятельности по содействию развитию конкуренции в регионе размещаемой Уполномоченным органом;</w:t>
      </w:r>
    </w:p>
    <w:p>
      <w:pPr>
        <w:pStyle w:val="Style12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деятельности субъектов естественных монополий локального и регионального уровня.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мониторинга используются:</w:t>
      </w:r>
    </w:p>
    <w:p>
      <w:pPr>
        <w:pStyle w:val="Style10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разработке регионального доклада «Состояние и развитие конкурентной среды в субъекте Российской Федерации» (далее - региональный доклад);</w:t>
      </w:r>
    </w:p>
    <w:p>
      <w:pPr>
        <w:pStyle w:val="Style10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подготовке доклада в Минэкономразвития России о мерах по созданию благоприятных условий ведения предпринимательской деятельности, реализованных в субъекте Российской Федерации 'распоряжение Правительства Российской Федерации от 10.04.2014 № 570-р);</w:t>
      </w:r>
    </w:p>
    <w:p>
      <w:pPr>
        <w:pStyle w:val="Style10"/>
        <w:numPr>
          <w:ilvl w:val="0"/>
          <w:numId w:val="1"/>
        </w:numPr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подготовке докладов в уполномоченный федеральный орган власти по оценке деятельности высших должностных лиц субъекта Российской Федерации с точки зрения внедрения Стандарта и развития конкуренции (проект соответствующего указа разработан).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  <w:sectPr>
          <w:footnotePr>
            <w:pos w:val="pageBottom"/>
            <w:numFmt w:val="decimal"/>
            <w:numRestart w:val="eachPage"/>
          </w:footnotePr>
          <w:pgSz w:w="12240" w:h="15840"/>
          <w:pgMar w:top="746" w:left="1521" w:right="860" w:bottom="48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мониторинга также рекомендуется использовать: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7. Оценку состояния конкуренции рекомендуется проводить с учетом следующего:</w:t>
      </w:r>
    </w:p>
    <w:p>
      <w:pPr>
        <w:pStyle w:val="Style10"/>
        <w:numPr>
          <w:ilvl w:val="0"/>
          <w:numId w:val="1"/>
        </w:numPr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мониторинга состояния конкуренции на товарных рынках определенной сферы деятельности рекомендуется возлагать на отраслевые структурные подразделения органов исполнительной власти региона. При необходимости к этой работе могут быть привлечены органы местного самоуправления;</w:t>
      </w:r>
    </w:p>
    <w:p>
      <w:pPr>
        <w:pStyle w:val="Style10"/>
        <w:numPr>
          <w:ilvl w:val="0"/>
          <w:numId w:val="1"/>
        </w:numPr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spacing w:before="0" w:after="262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рынки, входящие в Перечень, на которых осуществляется мониторинг, рекомендуется сегментировать по видам товаров (работ и услуг).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65" w:lineRule="exact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Подразделы мониторинга:</w:t>
      </w:r>
    </w:p>
    <w:p>
      <w:pPr>
        <w:pStyle w:val="Style18"/>
        <w:numPr>
          <w:ilvl w:val="0"/>
          <w:numId w:val="1"/>
        </w:numPr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удовлетворенности потребителей качеством товаров и услуг на товарных рынках региона и состоянием ценовой конкуренции;</w:t>
      </w:r>
    </w:p>
    <w:p>
      <w:pPr>
        <w:pStyle w:val="Style18"/>
        <w:tabs>
          <w:tab w:leader="none" w:pos="969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удовлетворенности</w:t>
        <w:tab/>
        <w:t>субъектов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региона и деятельности по содействию развитию конкуренции в регионе, размещаемой Уполн ом о ченным органом,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93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целесообразно осуществлять на основе опросов потребителей и по наличию жалоб в надзорные органы. Пример анкеты опроса потребителей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2"/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приведен в приложении 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760"/>
        <w:sectPr>
          <w:headerReference w:type="default" r:id="rId5"/>
          <w:footnotePr>
            <w:pos w:val="pageBottom"/>
            <w:numFmt w:val="decimal"/>
            <w:numRestart w:val="eachPage"/>
          </w:footnotePr>
          <w:pgSz w:w="12240" w:h="15840"/>
          <w:pgMar w:top="746" w:left="1521" w:right="860" w:bottom="481" w:header="0" w:footer="3" w:gutter="0"/>
          <w:rtlGutter w:val="0"/>
          <w:cols w:space="720"/>
          <w:pgNumType w:start="5"/>
          <w:noEndnote/>
          <w:docGrid w:linePitch="360"/>
        </w:sectPr>
      </w:pPr>
      <w:r>
        <w:rPr>
          <w:rStyle w:val="CharStyle21"/>
        </w:rPr>
        <w:t>Мониторинг деятельности субъектов естественных монополий локального и регионального уровня</w:t>
      </w:r>
      <w:r>
        <w:rPr>
          <w:rStyle w:val="CharStyle22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осуществляется после выполнения Требования 6 «Создание и реализация механизмов общественного контроля за деятельностью субъектов естественных монополий» Стандарта, на основании информации по результатам общественного контроля за деятельностью субъектов естественных монополий.</w:t>
      </w:r>
    </w:p>
    <w:p>
      <w:pPr>
        <w:pStyle w:val="Style10"/>
        <w:tabs>
          <w:tab w:leader="none" w:pos="2162" w:val="left"/>
          <w:tab w:leader="none" w:pos="4139" w:val="left"/>
          <w:tab w:leader="none" w:pos="6184" w:val="left"/>
          <w:tab w:leader="none" w:pos="84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</w:t>
        <w:tab/>
        <w:t>проведения</w:t>
        <w:tab/>
        <w:t>мониторинга</w:t>
        <w:tab/>
        <w:t>целесообразно</w:t>
        <w:tab/>
        <w:t>проводить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предварительное обсуждение, как исходных данных, так и результатов оценки конкурентной среды на товарных рынках региона с привлечением общественных организаций, экспертных советов, научной общественности.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необходимости и возможности характеристика состояния конкуренции на товарных рынках определяется по муниципальным образованиям (например, в отдаленных районах с низкой плотностью населения рынки характеризуются высоким уровнем локализации, обусловленной большой протяженностью территории, недостаточным развитием транспортной инфраструктуры и т.д.).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результатам вышеуказанных действий могут выявляться проблемы развития конкуренции на рынке и вырабатываются предложения по их решению.</w:t>
      </w:r>
    </w:p>
    <w:p>
      <w:pPr>
        <w:pStyle w:val="Style10"/>
        <w:numPr>
          <w:ilvl w:val="0"/>
          <w:numId w:val="3"/>
        </w:numPr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Состояние конкуренции на товарных рынках региона, уровня (наличия) административных барьеров может оцениваться, в том числе, по наличию жалоб в надзорные органы по данной проблематике и динамике их поступления в сравнении с предыдущим отчетным периодом.</w:t>
      </w:r>
    </w:p>
    <w:p>
      <w:pPr>
        <w:pStyle w:val="Style10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проведении мониторинга используется информация о правоприменительной практике территориальных органов ФАС России в отношении региональных и муниципальных органов власти и подведомственных им организаций в части доли (процентов), оспоренных в судах решений, вступивших в законную силу в отраслевом разрезе и с разбивкой по направлениям деятельности.</w:t>
      </w:r>
    </w:p>
    <w:p>
      <w:pPr>
        <w:pStyle w:val="Style10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получения репрезентативных данных, характеризующих состояние конкурентной среды в субъекте Российской Федерации в целом и в отдельных отраслях, рекомендуется заключать соглашения о взаимодействии и информационном обмене с территориальными органами федеральных органов исполнительной власти (включая Росстат и ФНС России) и общественными объединениями предпринимателей и потребителей.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Вместе с тем при подготовке запроса информации в территориальные органы ФАС России следует учитывать, что указанные органы исследуют ограниченное количество рынков, необходимое для выполнения ими контрольно-надзорных функций в соответствии с законодательством. В связи с этим антимонопольные органы могут предоставить органам власти региона информацию только по тем рынкам, анализ которых проводился по поручениям федеральных органов власти, либо по рынкам, которые исследовались в рамках рассмотрения дел, возбужденных по признакам нарушения антимонопольного законодательства, либо в рамках государственного контроля экономической концентрации.</w:t>
      </w:r>
    </w:p>
    <w:p>
      <w:pPr>
        <w:pStyle w:val="Style10"/>
        <w:numPr>
          <w:ilvl w:val="0"/>
          <w:numId w:val="3"/>
        </w:numPr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  <w:sectPr>
          <w:headerReference w:type="default" r:id="rId6"/>
          <w:footnotePr>
            <w:pos w:val="pageBottom"/>
            <w:numFmt w:val="decimal"/>
            <w:numRestart w:val="eachPage"/>
          </w:footnotePr>
          <w:pgSz w:w="12240" w:h="15840"/>
          <w:pgMar w:top="746" w:left="1521" w:right="860" w:bottom="481" w:header="0" w:footer="3" w:gutter="0"/>
          <w:rtlGutter w:val="0"/>
          <w:cols w:space="720"/>
          <w:pgNumType w:start="4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осуществлении мониторинга целесообразно отмечать примеры положительных действий региональных органов власти по улучшению состояния конкурентных среды (в том числе, примеры из аналитических материалов ФАС России «Белые и черные книги» проконкурентных и антиконкурентных региональных практик, которые размещены на официальном сайте ФАС России в сети Интернет).</w:t>
      </w:r>
    </w:p>
    <w:p>
      <w:pPr>
        <w:pStyle w:val="Style10"/>
        <w:numPr>
          <w:ilvl w:val="0"/>
          <w:numId w:val="1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государственных и муниципальных предприятий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3"/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4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(всего и по отраслям) в динамике за последние 5 лет (данные Росстата);</w:t>
      </w:r>
    </w:p>
    <w:p>
      <w:pPr>
        <w:pStyle w:val="Style10"/>
        <w:numPr>
          <w:ilvl w:val="0"/>
          <w:numId w:val="1"/>
        </w:numPr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субсидирования государственных и муниципальных предприятий в динамике за последние 5 лет;</w:t>
      </w:r>
    </w:p>
    <w:p>
      <w:pPr>
        <w:pStyle w:val="Style10"/>
        <w:numPr>
          <w:ilvl w:val="0"/>
          <w:numId w:val="1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организаций, действующих на рынках региона, с суммарной долей добавленной стоимости в ВРП 10 %, 20 %, 30 %, 40%, 50 %, (данные Росстата).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осуществления мониторинга оценки состояния конкурентной среды на товарных рынках субъекта Российской Федерации субъектами предпринимательской деятельности представляется целесообразным использовать опросы, проводимые Росстатом (формы ДАС, 1-ДАП и др.), общественными объединениями (организациями) предпринимателей (ОПОРА России, Деловая Россия и т.д.), иными органами и организациями, в том числе органами власти субъекта Российской Федерации. Пример анкеты приведен в приложении 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Необходимо иметь в виду, что в составе данных международных рейтингов (рейтинг Всемирного экономического форума, рейтинг Всемирного банка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«Doing Business in Russia»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др.) могут присутствовать, помимо данных по Российской Федерации в целом, и показатели для ряда крупных субъектов Российской Федерации или их региональных центров, которые также могут быть использованы в целях оценки состояния конкуренции в регионе.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Одной из определяющих характеристик состояния конкуренции на товарных рынках субъекта Российской Федерации является достижение целевых показателей региональной «дорожной карты».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каждому рынку, вошедшему в Перечень, рекомендуется, в том числе, определять (непосредственно органами государственной власти субъекта Российской Федерации или привлеченными экспертами):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1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хозяйствующих субъектов, занимающих доминирующее положение на рынке;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долю государственных и муниципальных предприятий на рынке;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сегменты рынка, на которых в силу нормативных требований или объективных причин могут осуществлять деятельность только государственные и (или) муниципальные организации;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административные, экономические и иные барьеры, затрудняющие предпринимательскую деятельность на рынке;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оценки масштабов «теневой» доли рынка (по данным экспертов, при наличии);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160" w:right="0" w:firstLine="540"/>
        <w:sectPr>
          <w:headerReference w:type="default" r:id="rId7"/>
          <w:footnotePr>
            <w:pos w:val="pageBottom"/>
            <w:numFmt w:val="decimal"/>
            <w:numRestart w:val="eachPage"/>
          </w:footnotePr>
          <w:pgSz w:w="12240" w:h="15840"/>
          <w:pgMar w:top="746" w:left="1521" w:right="860" w:bottom="481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характеристику состояния конкуренции на товарном рынке в регионе (рынок с развитой конкуренцией, недостаточно развитой конкуренцией, неразвитой конкуренцией).</w:t>
      </w:r>
    </w:p>
    <w:p>
      <w:pPr>
        <w:pStyle w:val="Style10"/>
        <w:numPr>
          <w:ilvl w:val="0"/>
          <w:numId w:val="1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формировании и корректировке Перечня приоритетных и социально значимых рынков для содействия развитию конкуренции в субъекте Российской Федерации (далее - Перечень);</w:t>
      </w:r>
    </w:p>
    <w:p>
      <w:pPr>
        <w:pStyle w:val="Style10"/>
        <w:numPr>
          <w:ilvl w:val="0"/>
          <w:numId w:val="1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разработке и реализации плана мероприятий </w:t>
      </w:r>
      <w:r>
        <w:rPr>
          <w:rStyle w:val="CharStyle23"/>
        </w:rPr>
        <w:t xml:space="preserve">«дорожной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карты» по содействию развитию конкуренции в регионе (далее </w:t>
      </w:r>
      <w:r>
        <w:rPr>
          <w:rStyle w:val="CharStyle23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региональная «дорожная карта»).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осуществлении мониторинга, подготовке регионального доклада и материалов для включения в Доклад о состоянии конкуренции в Российской Федерации' рекомендуется придерживаться следующих временных рамок:</w:t>
      </w:r>
    </w:p>
    <w:p>
      <w:pPr>
        <w:pStyle w:val="Style10"/>
        <w:numPr>
          <w:ilvl w:val="0"/>
          <w:numId w:val="1"/>
        </w:numPr>
        <w:tabs>
          <w:tab w:leader="none" w:pos="9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проводится в течение всего отчетного года;</w:t>
      </w:r>
    </w:p>
    <w:p>
      <w:pPr>
        <w:pStyle w:val="Style10"/>
        <w:numPr>
          <w:ilvl w:val="0"/>
          <w:numId w:val="1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состояния конкурентной среды в субъекте Российской Федерации проводится по итогам календарного года;</w:t>
      </w:r>
    </w:p>
    <w:p>
      <w:pPr>
        <w:pStyle w:val="Style10"/>
        <w:numPr>
          <w:ilvl w:val="0"/>
          <w:numId w:val="1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региональный доклад размещается в сети Интернет не </w:t>
      </w:r>
      <w:r>
        <w:rPr>
          <w:rStyle w:val="CharStyle24"/>
        </w:rPr>
        <w:t>позднее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 апреля года, следующего за отчетным периодом);</w:t>
      </w:r>
    </w:p>
    <w:p>
      <w:pPr>
        <w:pStyle w:val="Style10"/>
        <w:numPr>
          <w:ilvl w:val="0"/>
          <w:numId w:val="1"/>
        </w:numPr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spacing w:before="0" w:after="258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материалы в Доклад о состоянии конкуренции в Российской Федерации рекомендуется представлять в ФАС России в срок до </w:t>
      </w:r>
      <w:r>
        <w:rPr>
          <w:rStyle w:val="CharStyle23"/>
        </w:rPr>
        <w:t xml:space="preserve">10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марта года, следующего за отчетным периодом.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0"/>
        <w:ind w:left="18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административных барьеров и оценки состояния конкурентной среды субъектами предпринимательской деятельности</w:t>
      </w:r>
      <w:r>
        <w:rPr>
          <w:rStyle w:val="CharStyle27"/>
          <w:i w:val="0"/>
          <w:iCs w:val="0"/>
        </w:rPr>
        <w:t xml:space="preserve"> </w:t>
      </w:r>
      <w:r>
        <w:rPr>
          <w:rStyle w:val="CharStyle28"/>
          <w:i w:val="0"/>
          <w:iCs w:val="0"/>
        </w:rPr>
        <w:t>рекомендуется проводить, принимая во внимание следующее.</w:t>
      </w:r>
      <w:bookmarkEnd w:id="0"/>
    </w:p>
    <w:p>
      <w:pPr>
        <w:pStyle w:val="Style10"/>
        <w:numPr>
          <w:ilvl w:val="0"/>
          <w:numId w:val="5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Получение объективных исходных данных, используемых для оценки</w:t>
      </w:r>
    </w:p>
    <w:p>
      <w:pPr>
        <w:pStyle w:val="Style10"/>
        <w:tabs>
          <w:tab w:leader="none" w:pos="3938" w:val="left"/>
          <w:tab w:leader="none" w:pos="5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состояния конкурентной среды, рекомендуется обеспечивать с использованием следующих источников:</w:t>
        <w:tab/>
        <w:t>данные</w:t>
        <w:tab/>
        <w:t>государственного статистического</w:t>
      </w:r>
    </w:p>
    <w:p>
      <w:pPr>
        <w:pStyle w:val="Style10"/>
        <w:tabs>
          <w:tab w:leader="none" w:pos="5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наблюдения, данные ФНС России, в том числе, получаемые по дополнительным запросам, иные</w:t>
        <w:tab/>
        <w:t>данные, которыми располагают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территориальные органы федеральных органов исполнительной власти, региональные и муниципальные органы власти.</w:t>
      </w:r>
    </w:p>
    <w:p>
      <w:pPr>
        <w:pStyle w:val="Style10"/>
        <w:numPr>
          <w:ilvl w:val="0"/>
          <w:numId w:val="5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состояния конкуренции в субъекте Российской Федерации может осуществляться посредством анализа показателей, прямо или косвенно характеризующих состояние конкурентной среды.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частности, могут быть использованы такие показатели </w:t>
      </w:r>
      <w:r>
        <w:rPr>
          <w:rStyle w:val="CharStyle23"/>
        </w:rPr>
        <w:t>как:</w:t>
      </w:r>
    </w:p>
    <w:p>
      <w:pPr>
        <w:pStyle w:val="Style10"/>
        <w:numPr>
          <w:ilvl w:val="0"/>
          <w:numId w:val="1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количество хозяйствующих субъектов на товарных рынках региона в динамике за последние 5 лет (в абсолютном выражении и, в целях межрегионального сравнения, на 1000 чел. населения, с </w:t>
      </w:r>
      <w:r>
        <w:rPr>
          <w:rStyle w:val="CharStyle24"/>
        </w:rPr>
        <w:t>использованием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данных Росстата </w:t>
      </w:r>
      <w:r>
        <w:rPr>
          <w:rStyle w:val="CharStyle24"/>
        </w:rPr>
        <w:t>или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ФНС России);</w:t>
      </w:r>
    </w:p>
    <w:p>
      <w:pPr>
        <w:pStyle w:val="Style10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количество новых предприятий, зарегистрированных на территории региона за последние 5 лет, в том числе в расчете на 1000 чел. населения </w:t>
      </w:r>
      <w:r>
        <w:rPr>
          <w:rStyle w:val="CharStyle23"/>
        </w:rPr>
        <w:t xml:space="preserve">(с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использованием данных Росстата или ФНС России);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erence w:id="5"/>
      </w:r>
    </w:p>
    <w:sectPr>
      <w:headerReference w:type="default" r:id="rId8"/>
      <w:footnotePr>
        <w:pos w:val="pageBottom"/>
        <w:numFmt w:val="decimal"/>
        <w:numRestart w:val="eachPage"/>
      </w:footnotePr>
      <w:pgSz w:w="12240" w:h="15840"/>
      <w:pgMar w:top="746" w:left="1521" w:right="860" w:bottom="481" w:header="0" w:footer="3" w:gutter="0"/>
      <w:rtlGutter w:val="0"/>
      <w:cols w:space="720"/>
      <w:pgNumType w:start="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20" w:right="14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Разработчик Нижегородский Государственный Университет им. Н.И. Лобачевского, кафедра экономической социологии факультета социальных наук</w:t>
      </w:r>
    </w:p>
  </w:footnote>
  <w:footnote w:id="3">
    <w:p>
      <w:pPr>
        <w:pStyle w:val="Style3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2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Государственные унитарные предприятия, муниципальные унитарные предприятия, хозяйственные общества, в уставном капитале которых более 50 % акций (долей) находится в государственной (муниципальной) собственности.</w:t>
      </w:r>
    </w:p>
  </w:footnote>
  <w:footnote w:id="4">
    <w:p>
      <w:pPr>
        <w:pStyle w:val="Style3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58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Разработчик Нижегородский Государственный Университет им. Н И. Лобачевского, кафедра экономической социологии факультета социальных наук.</w:t>
      </w:r>
    </w:p>
  </w:footnote>
  <w:footnote w:id="5"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160"/>
      </w:pPr>
      <w:r>
        <w:rPr>
          <w:rStyle w:val="CharStyle7"/>
          <w:vertAlign w:val="superscript"/>
          <w:i w:val="0"/>
          <w:iCs w:val="0"/>
        </w:rPr>
        <w:footnoteRef/>
      </w:r>
      <w:r>
        <w:rPr>
          <w:rStyle w:val="CharStyle7"/>
          <w:i w:val="0"/>
          <w:iCs w:val="0"/>
        </w:rPr>
        <w:t xml:space="preserve">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Доклад разрабатывается в соответствии с пунктом 10 части 2 статьи 23 Федерального закона от 26.01.2006 № 135-ФЗ «О защите конкуренции^ и поручениями Первого заместителя Председателя Правительства Российской Федерации И.И. Шувалова от 30.04.2013 № ИШ-П13-3004 и от 02.04.2014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Ns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ИШ-П13-2189.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2.6pt;margin-top:15.pt;width:4.3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32.pt;margin-top:15.5pt;width:4.8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34.4pt;margin-top:15.pt;width:4.3pt;height:7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34.3pt;margin-top:17.9pt;width:4.3pt;height:7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Сноска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Сноска (2)_"/>
    <w:basedOn w:val="DefaultParagraphFont"/>
    <w:link w:val="Style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Сноска (2) + Не курсив"/>
    <w:basedOn w:val="CharStyle6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Основной текст (3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Основной текст (4)_"/>
    <w:basedOn w:val="DefaultParagraphFont"/>
    <w:link w:val="Style12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Основной текст (4) + Не курсив"/>
    <w:basedOn w:val="CharStyle13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6">
    <w:name w:val="Колонтитул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7">
    <w:name w:val="Колонтитул"/>
    <w:basedOn w:val="CharStyle16"/>
    <w:rPr>
      <w:lang w:val="ru-RU" w:eastAsia="ru-RU" w:bidi="ru-RU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9">
    <w:name w:val="Основной текст (5)_"/>
    <w:basedOn w:val="DefaultParagraphFont"/>
    <w:link w:val="Style18"/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0">
    <w:name w:val="Основной текст (5) + 4,5 pt,Не курсив"/>
    <w:basedOn w:val="CharStyle19"/>
    <w:rPr>
      <w:lang w:val="ru-RU" w:eastAsia="ru-RU" w:bidi="ru-RU"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21">
    <w:name w:val="Основной текст (2) + 16 pt,Курсив"/>
    <w:basedOn w:val="CharStyle11"/>
    <w:rPr>
      <w:lang w:val="ru-RU" w:eastAsia="ru-RU" w:bidi="ru-RU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22">
    <w:name w:val="Основной текст (2) + 4,5 pt"/>
    <w:basedOn w:val="CharStyle11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23">
    <w:name w:val="Основной текст (2)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2) + Курсив"/>
    <w:basedOn w:val="CharStyle11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6">
    <w:name w:val="Заголовок №1_"/>
    <w:basedOn w:val="DefaultParagraphFont"/>
    <w:link w:val="Style25"/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7">
    <w:name w:val="Заголовок №1 + 4,5 pt,Не курсив"/>
    <w:basedOn w:val="CharStyle26"/>
    <w:rPr>
      <w:lang w:val="ru-RU" w:eastAsia="ru-RU" w:bidi="ru-RU"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28">
    <w:name w:val="Заголовок №1 + 14 pt,Не курсив"/>
    <w:basedOn w:val="CharStyle26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Сноска"/>
    <w:basedOn w:val="Normal"/>
    <w:link w:val="CharStyle4"/>
    <w:pPr>
      <w:widowControl w:val="0"/>
      <w:shd w:val="clear" w:color="auto" w:fill="FFFFFF"/>
      <w:jc w:val="both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Сноска (2)"/>
    <w:basedOn w:val="Normal"/>
    <w:link w:val="CharStyle6"/>
    <w:pPr>
      <w:widowControl w:val="0"/>
      <w:shd w:val="clear" w:color="auto" w:fill="FFFFFF"/>
      <w:jc w:val="both"/>
      <w:spacing w:line="274" w:lineRule="exact"/>
      <w:ind w:firstLine="6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jc w:val="center"/>
      <w:spacing w:after="60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jc w:val="both"/>
      <w:spacing w:before="600"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jc w:val="both"/>
      <w:spacing w:line="317" w:lineRule="exact"/>
      <w:ind w:firstLine="700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Колонтитул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8">
    <w:name w:val="Основной текст (5)"/>
    <w:basedOn w:val="Normal"/>
    <w:link w:val="CharStyle19"/>
    <w:pPr>
      <w:widowControl w:val="0"/>
      <w:shd w:val="clear" w:color="auto" w:fill="FFFFFF"/>
      <w:jc w:val="both"/>
      <w:spacing w:line="365" w:lineRule="exact"/>
    </w:pPr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5">
    <w:name w:val="Заголовок №1"/>
    <w:basedOn w:val="Normal"/>
    <w:link w:val="CharStyle26"/>
    <w:pPr>
      <w:widowControl w:val="0"/>
      <w:shd w:val="clear" w:color="auto" w:fill="FFFFFF"/>
      <w:jc w:val="both"/>
      <w:outlineLvl w:val="0"/>
      <w:spacing w:before="300" w:line="370" w:lineRule="exact"/>
      <w:ind w:firstLine="560"/>
    </w:pPr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</file>