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2" w:rsidRPr="00EB2682" w:rsidRDefault="00EB2682" w:rsidP="00EB2682">
      <w:pPr>
        <w:spacing w:before="210" w:line="240" w:lineRule="auto"/>
        <w:outlineLvl w:val="0"/>
        <w:rPr>
          <w:rFonts w:ascii="Verdana" w:eastAsia="Times New Roman" w:hAnsi="Verdana" w:cs="Tahoma"/>
          <w:color w:val="B82935"/>
          <w:kern w:val="36"/>
          <w:sz w:val="36"/>
          <w:szCs w:val="36"/>
          <w:lang w:eastAsia="ru-RU"/>
        </w:rPr>
      </w:pPr>
      <w:r w:rsidRPr="00EB2682">
        <w:rPr>
          <w:rFonts w:ascii="Verdana" w:eastAsia="Times New Roman" w:hAnsi="Verdana" w:cs="Tahoma"/>
          <w:color w:val="B82935"/>
          <w:kern w:val="36"/>
          <w:sz w:val="36"/>
          <w:szCs w:val="36"/>
          <w:lang w:eastAsia="ru-RU"/>
        </w:rPr>
        <w:t>РАСЧЕТ СРЕДНЕГО ЗАРАБОТКА ПО НОВЫМ ПРАВИЛАМ</w:t>
      </w:r>
    </w:p>
    <w:tbl>
      <w:tblPr>
        <w:tblW w:w="9165" w:type="dxa"/>
        <w:tblCellSpacing w:w="15" w:type="dxa"/>
        <w:tblBorders>
          <w:bottom w:val="dotted" w:sz="6" w:space="0" w:color="C7C7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EB2682" w:rsidRPr="00EB2682" w:rsidTr="00EB268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B2682" w:rsidRPr="00EB2682" w:rsidRDefault="00EB2682" w:rsidP="00EB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B2682" w:rsidRPr="00EB2682" w:rsidRDefault="00EB2682" w:rsidP="00EB268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  <w:t>РАСЧЕТ СРЕДНЕГО ЗАРАБОТКА ПО НОВЫМ ПРАВИЛАМ</w:t>
      </w:r>
    </w:p>
    <w:p w:rsidR="00EB2682" w:rsidRPr="00EB2682" w:rsidRDefault="00EB2682" w:rsidP="00EB2682">
      <w:pPr>
        <w:spacing w:after="240" w:line="270" w:lineRule="atLeast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В связи с принятием нового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922, управление труда Брянской области дает разъяснение по основным вопросам, возникающим на практике.</w:t>
      </w:r>
    </w:p>
    <w:p w:rsidR="00EB2682" w:rsidRPr="00EB2682" w:rsidRDefault="00EB2682" w:rsidP="00EB268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  <w:t>ВЫПЛАТЫ, УЧИТЫВАЕМЫЕ ДЛЯ РАСЧЕТА СРЕДНЕЙ ЗАРПЛАТЫ</w:t>
      </w:r>
    </w:p>
    <w:p w:rsidR="00EB2682" w:rsidRPr="00EB2682" w:rsidRDefault="00EB2682" w:rsidP="00EB2682">
      <w:pPr>
        <w:spacing w:after="240" w:line="270" w:lineRule="atLeast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Для расчета средней заработной платы учитываются все предусмотренные системой оплаты труда виды выплат, применяемые у соответствующего работодателя, независимо от источников этих выплат, то есть все выплаты по заработной плате, применяемые у работодателя.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Новое Положение уточняет: выплаты социального характера и иные выплаты, не относящиеся к оплате труда, такие как материальная помощь, оплата стоимости питания, проезда и т.д. в расчет среднего заработка не включаются.</w:t>
      </w:r>
    </w:p>
    <w:p w:rsidR="00EB2682" w:rsidRPr="00EB2682" w:rsidRDefault="00EB2682" w:rsidP="00EB268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  <w:t>РАСЧЕТНЫЙ ПЕРИОД</w:t>
      </w:r>
    </w:p>
    <w:p w:rsidR="00EB2682" w:rsidRPr="00EB2682" w:rsidRDefault="00EB2682" w:rsidP="00EB2682">
      <w:pPr>
        <w:spacing w:after="240" w:line="270" w:lineRule="atLeast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Указанный расчетный период применяется для произведения расчетов во всех случаях, предусмотренных ТК РФ.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Также ст. 139 ТК РФ предусматривает возможность установления и иных периодов (</w:t>
      </w:r>
      <w:proofErr w:type="gramStart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например</w:t>
      </w:r>
      <w:proofErr w:type="gramEnd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3 месяца) для расчета средней заработной платы в коллективных договорах, локальных нормативных актах, при условии, что это не ухудшает положение работников.</w:t>
      </w:r>
    </w:p>
    <w:p w:rsidR="00EB2682" w:rsidRPr="00EB2682" w:rsidRDefault="00EB2682" w:rsidP="00EB268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  <w:t>РАСЧЕТ ПРИ НЕ ПОЛНОСТЬЮ ОТРАБОТАННОМ ПЕРИОДЕ, ПРИ ЗАКЛЮЧЕНИИ ТРУДОВОГО ДОГОВОРА НА СРОК ДО 2 МЕСЯЦЕВ, ПРИ СЕЗОННЫХ РАБОТАХ, УЧЕБНЫЙ ОТПУСК</w:t>
      </w:r>
    </w:p>
    <w:p w:rsidR="00EB2682" w:rsidRPr="00EB2682" w:rsidRDefault="00EB2682" w:rsidP="00EB2682">
      <w:pPr>
        <w:spacing w:after="240" w:line="270" w:lineRule="atLeast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Общие правила расчета количества календарных дней в не полностью отработанных месяцах расчетного периода определены в пункте 10 Положения. Количество календарных дней в неполном календарном месяце рассчитывается путем деления среднемесячного числа календарных дней на число календарных дней этого месяца и умножения на количество календарных дней, приходящихся на время, отработанное в данном месяце.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Пример: Работник использует ежегодный отпуск в июле 2008 года. Предположим, что в расчетном периоде с 23 по 29 июня 2008г, он болел. Тогда число календарных дней, приходящихся па время, отработанное в этом месяце, составит 23. Количество календарных дней в неполном календарном месяце составит: 29,4</w:t>
      </w:r>
      <w:proofErr w:type="gramStart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:</w:t>
      </w:r>
      <w:proofErr w:type="gramEnd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30 x 23 = 22,5 дней.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Работникам, заключившим трудовой договор на срок до 2 месяцев, а также занятым па сезонных работах ежегодные отпуска предоставляются из расчета два рабочих дня за месяц работы.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Средний дневной заработок для оплаты отпусков, предоставляемых в рабочих днях, определяется путем деления суммы фактически начисленной заработной платы за отработанное время на количество рабочих дней по календарю 6-дневной рабочей недели, приходящихся на отработанное время.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proofErr w:type="gramStart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lastRenderedPageBreak/>
        <w:t>В целях зашиты интересов обучающейся молодежи по заочной и очно-заочной формам обучения в Положение включена норма об оплате всех календарных дней (включая нерабочие праздничные), приходящихся на период таких отпусков, предоставляемых в соответствии со справкой-вызовом учебного заведении,</w:t>
      </w:r>
      <w:proofErr w:type="gramEnd"/>
    </w:p>
    <w:p w:rsidR="00EB2682" w:rsidRPr="00EB2682" w:rsidRDefault="00EB2682" w:rsidP="00EB268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b/>
          <w:bCs/>
          <w:color w:val="474747"/>
          <w:sz w:val="21"/>
          <w:szCs w:val="21"/>
          <w:lang w:eastAsia="ru-RU"/>
        </w:rPr>
        <w:t>ПОВЫШЕНИЕ (КОРРЕКТИРОВКА) СРЕДНЕГО ЗАРАБОТКА</w:t>
      </w:r>
    </w:p>
    <w:p w:rsidR="00EB2682" w:rsidRPr="00EB2682" w:rsidRDefault="00EB2682" w:rsidP="00EB2682">
      <w:pPr>
        <w:spacing w:after="0" w:line="270" w:lineRule="atLeast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В пункты 16 и 17 Положения включены уточняющие формулировки относительно выплат, которые следует учитывать при повышении среднего заработка, К таким выплатам относятся тарифные ставки, оклады (должностные оклады) и выплаты, установленные к ним в фиксированном размере (проценты, кратность), за исключением выплат, установленных в диапазоне этих значений. То есть выплаты, осуществляемые в независимости от оклада, не корректируются. Это, например, заработная плата в процентах от объема сделок, продаж, выплаты, установленные в абсолютных размерах. Также не корректируются выплаты, установленные в диапазоне процентов или кратности.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proofErr w:type="gramStart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В связи с многочисленными обращениями по вопросу корректировки заработной платы в случае ее увеличения в расчетном периоде</w:t>
      </w:r>
      <w:proofErr w:type="gramEnd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разъясняем.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 xml:space="preserve">Пример: работник идет в отпуск с 9 июня. Расчетный период 12 месяцев (с июня 2007 года по май 2008 года). В расчетном периоде дважды произошло повышение тарифной ставки с 1 сентября 2007 года - на 15 % и с 1 февраля 2008 года </w:t>
      </w:r>
      <w:proofErr w:type="gramStart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-н</w:t>
      </w:r>
      <w:proofErr w:type="gramEnd"/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а 14%.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Таким образом, при расчете среднего заработка необходимо средний заработок за период с июня 2007 года по август 2007 года скорректировать на 15% и 14%, а период с сентября 2007 года по январь 2008 года - на 14%.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Следовательно, средний заработок с июня по август 2007 года повысится дважды (на 15% и на 14%), а с сентября 2007 года по январь 2008 года - 1 раз (на 14%).</w:t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Pr="00EB2682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Начальник управления труда Брянской области В.А. Барабанов.</w:t>
      </w:r>
    </w:p>
    <w:p w:rsidR="00B11D47" w:rsidRDefault="00B11D47">
      <w:bookmarkStart w:id="0" w:name="_GoBack"/>
      <w:bookmarkEnd w:id="0"/>
    </w:p>
    <w:sectPr w:rsidR="00B1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82"/>
    <w:rsid w:val="00B11D47"/>
    <w:rsid w:val="00E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743">
              <w:marLeft w:val="0"/>
              <w:marRight w:val="0"/>
              <w:marTop w:val="0"/>
              <w:marBottom w:val="0"/>
              <w:divBdr>
                <w:top w:val="none" w:sz="0" w:space="16" w:color="auto"/>
                <w:left w:val="none" w:sz="0" w:space="0" w:color="auto"/>
                <w:bottom w:val="dotted" w:sz="6" w:space="20" w:color="C7C7C7"/>
                <w:right w:val="none" w:sz="0" w:space="0" w:color="auto"/>
              </w:divBdr>
              <w:divsChild>
                <w:div w:id="13358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ADGR</dc:creator>
  <cp:lastModifiedBy>ADGR</cp:lastModifiedBy>
  <cp:revision>1</cp:revision>
  <dcterms:created xsi:type="dcterms:W3CDTF">2015-01-16T08:33:00Z</dcterms:created>
  <dcterms:modified xsi:type="dcterms:W3CDTF">2015-01-16T08:33:00Z</dcterms:modified>
</cp:coreProperties>
</file>