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F7" w:rsidRPr="00C17E42" w:rsidRDefault="00C703F7" w:rsidP="00C703F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bookmarkStart w:id="0" w:name="_GoBack"/>
      <w:r w:rsidRPr="00C17E42">
        <w:rPr>
          <w:rFonts w:ascii="Arial" w:eastAsia="Times New Roman" w:hAnsi="Arial" w:cs="Arial"/>
          <w:b/>
          <w:bCs/>
          <w:color w:val="222222"/>
          <w:sz w:val="24"/>
          <w:szCs w:val="24"/>
          <w:lang w:eastAsia="ru-RU"/>
        </w:rPr>
        <w:t>ПРАВИЛА</w:t>
      </w:r>
      <w:r w:rsidRPr="00C17E42">
        <w:rPr>
          <w:rFonts w:ascii="Arial" w:eastAsia="Times New Roman" w:hAnsi="Arial" w:cs="Arial"/>
          <w:b/>
          <w:bCs/>
          <w:color w:val="222222"/>
          <w:sz w:val="24"/>
          <w:szCs w:val="24"/>
          <w:lang w:eastAsia="ru-RU"/>
        </w:rPr>
        <w:br/>
        <w:t>ПРЕДОСТАВЛЕНИЯ МОЛОДЫМ СЕМЬЯМ СОЦИАЛЬНЫХ ВЫПЛАТ</w:t>
      </w:r>
      <w:r w:rsidRPr="00C17E42">
        <w:rPr>
          <w:rFonts w:ascii="Arial" w:eastAsia="Times New Roman" w:hAnsi="Arial" w:cs="Arial"/>
          <w:b/>
          <w:bCs/>
          <w:color w:val="222222"/>
          <w:sz w:val="24"/>
          <w:szCs w:val="24"/>
          <w:lang w:eastAsia="ru-RU"/>
        </w:rPr>
        <w:br/>
        <w:t>НА ПРИОБРЕТЕНИЕ (СТРОИТЕЛЬСТВО) ЖИЛЬЯ И ИХ ИСПОЛЬЗОВАНИЯ</w:t>
      </w:r>
    </w:p>
    <w:bookmarkEnd w:id="0"/>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 Социальные выплаты используются: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w:t>
      </w:r>
      <w:r w:rsidRPr="00C17E42">
        <w:rPr>
          <w:rFonts w:ascii="Arial" w:eastAsia="Times New Roman" w:hAnsi="Arial" w:cs="Arial"/>
          <w:color w:val="222222"/>
          <w:sz w:val="24"/>
          <w:szCs w:val="24"/>
          <w:lang w:eastAsia="ru-RU"/>
        </w:rPr>
        <w:lastRenderedPageBreak/>
        <w:t>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17E42">
        <w:rPr>
          <w:rFonts w:ascii="Arial" w:eastAsia="Times New Roman" w:hAnsi="Arial" w:cs="Arial"/>
          <w:color w:val="222222"/>
          <w:sz w:val="24"/>
          <w:szCs w:val="24"/>
          <w:lang w:eastAsia="ru-RU"/>
        </w:rPr>
        <w:t>неполнородных</w:t>
      </w:r>
      <w:proofErr w:type="spellEnd"/>
      <w:r w:rsidRPr="00C17E42">
        <w:rPr>
          <w:rFonts w:ascii="Arial" w:eastAsia="Times New Roman" w:hAnsi="Arial" w:cs="Arial"/>
          <w:color w:val="222222"/>
          <w:sz w:val="24"/>
          <w:szCs w:val="24"/>
          <w:lang w:eastAsia="ru-RU"/>
        </w:rPr>
        <w:t xml:space="preserve"> братьев и сестер).</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 Выдача свидетельства о праве на получение социальной выплаты по форме согласно приложению N 1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Орган исполнительной власти субъекта Российской Федерации вправе принять решение об отказе от оформления свидетельств о праве на получение </w:t>
      </w:r>
      <w:r w:rsidRPr="00C17E42">
        <w:rPr>
          <w:rFonts w:ascii="Arial" w:eastAsia="Times New Roman" w:hAnsi="Arial" w:cs="Arial"/>
          <w:color w:val="222222"/>
          <w:sz w:val="24"/>
          <w:szCs w:val="24"/>
          <w:lang w:eastAsia="ru-RU"/>
        </w:rPr>
        <w:lastRenderedPageBreak/>
        <w:t>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молодая семья признана нуждающейся в жилом помещении в соответствии с пунктом 7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703F7" w:rsidRPr="00C17E42" w:rsidRDefault="00C703F7" w:rsidP="00C703F7">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w:t>
      </w:r>
      <w:hyperlink r:id="rId4" w:history="1">
        <w:r w:rsidRPr="00C17E42">
          <w:rPr>
            <w:rFonts w:ascii="Arial" w:eastAsia="Times New Roman" w:hAnsi="Arial" w:cs="Arial"/>
            <w:color w:val="1B6DFD"/>
            <w:sz w:val="24"/>
            <w:szCs w:val="24"/>
            <w:bdr w:val="none" w:sz="0" w:space="0" w:color="auto" w:frame="1"/>
            <w:lang w:eastAsia="ru-RU"/>
          </w:rPr>
          <w:t>51 Жилищного кодекса Российской Федерации</w:t>
        </w:r>
      </w:hyperlink>
      <w:r w:rsidRPr="00C17E42">
        <w:rPr>
          <w:rFonts w:ascii="Arial" w:eastAsia="Times New Roman" w:hAnsi="Arial" w:cs="Arial"/>
          <w:color w:val="222222"/>
          <w:sz w:val="24"/>
          <w:szCs w:val="24"/>
          <w:lang w:eastAsia="ru-RU"/>
        </w:rPr>
        <w:t>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w:t>
      </w:r>
      <w:r w:rsidRPr="00C17E42">
        <w:rPr>
          <w:rFonts w:ascii="Arial" w:eastAsia="Times New Roman" w:hAnsi="Arial" w:cs="Arial"/>
          <w:color w:val="222222"/>
          <w:sz w:val="24"/>
          <w:szCs w:val="24"/>
          <w:lang w:eastAsia="ru-RU"/>
        </w:rPr>
        <w:lastRenderedPageBreak/>
        <w:t>полностью не исполнены, либо не исполнены обязательства по кредиту (займу) на погашение ранее предоставленного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8. Порядок и условия признания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10. Социальная выплата предоставляется в размере не менее: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30 процентов расчетной (средней) стоимости жилья, определяемой в соответствии с настоящими Правилами, - для молодых семей, не имеющих детей;</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12. В случае использования социальной выплаты на цели, предусмотренные подпунктами "е" и "и"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15. Размер общей площади жилого помещения, с учетом которого определяется размер социальной выплаты, составляет:</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для семьи, состоящей из 2 человек (молодые супруги или один молодой родитель и ребенок), - 42 кв. метра;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16. Расчетная (средняя) стоимость жилья, используемая при расчете размера социальной выплаты, определяется по формуле:</w:t>
      </w:r>
    </w:p>
    <w:p w:rsidR="00C703F7" w:rsidRPr="00C17E42" w:rsidRDefault="00C703F7" w:rsidP="00C703F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roofErr w:type="spellStart"/>
      <w:r w:rsidRPr="00C17E42">
        <w:rPr>
          <w:rFonts w:ascii="Arial" w:eastAsia="Times New Roman" w:hAnsi="Arial" w:cs="Arial"/>
          <w:b/>
          <w:bCs/>
          <w:color w:val="222222"/>
          <w:sz w:val="24"/>
          <w:szCs w:val="24"/>
          <w:lang w:eastAsia="ru-RU"/>
        </w:rPr>
        <w:t>СтЖ</w:t>
      </w:r>
      <w:proofErr w:type="spellEnd"/>
      <w:r w:rsidRPr="00C17E42">
        <w:rPr>
          <w:rFonts w:ascii="Arial" w:eastAsia="Times New Roman" w:hAnsi="Arial" w:cs="Arial"/>
          <w:b/>
          <w:bCs/>
          <w:color w:val="222222"/>
          <w:sz w:val="24"/>
          <w:szCs w:val="24"/>
          <w:lang w:eastAsia="ru-RU"/>
        </w:rPr>
        <w:t xml:space="preserve"> = Н x РЖ,</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где: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РЖ - размер общей площади жилого помещения, определяемый в соответствии с пунктом 15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18. Для участия в мероприятии ведомственной целевой программы в целях использования социальной выплаты в соответствии с подпунктами "а" - "д", "ж" и "з" пункта 2 настоящих Правил молодая семья подает в орган местного самоуправления по месту жительства следующие документы: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заявление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копия документов, удостоверяющих личность каждого члена семьи;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свидетельства о браке (на неполную семью не распространяется);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г) документ, подтверждающий признание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нуждающейся в жилых помещениях;</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д) документы, подтверждающие признание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19. Для участия в мероприятии ведомственной целевой программы в целях использования социальной выплаты в соответствии с подпунктами "е" и "и" пункта 2 настоящих Правил молодая семья подает в орган местного самоуправления по месту жительства следующие документы: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заявление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копии документов, удостоверяющих личность каждого члена семьи;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свидетельства о браке (на неполную семью не распространяется);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копия договора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з) документ, подтверждающий признание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нуждающейся в жилом помещении в соответствии с пунктом 7 настоящих Правил на день заключения договора жилищного кредита, указанного в подпункте "е" настоящего пункта;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C703F7" w:rsidRPr="00C17E42" w:rsidRDefault="00C703F7" w:rsidP="00C703F7">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w:t>
      </w:r>
      <w:r w:rsidRPr="00C17E42">
        <w:rPr>
          <w:rFonts w:ascii="Arial" w:eastAsia="Times New Roman" w:hAnsi="Arial" w:cs="Arial"/>
          <w:color w:val="222222"/>
          <w:sz w:val="24"/>
          <w:szCs w:val="24"/>
          <w:lang w:eastAsia="ru-RU"/>
        </w:rPr>
        <w:lastRenderedPageBreak/>
        <w:t>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25 июня 2012 г. N 634</w:t>
        </w:r>
      </w:hyperlink>
      <w:r w:rsidRPr="00C17E42">
        <w:rPr>
          <w:rFonts w:ascii="Arial" w:eastAsia="Times New Roman" w:hAnsi="Arial" w:cs="Arial"/>
          <w:color w:val="222222"/>
          <w:sz w:val="24"/>
          <w:szCs w:val="24"/>
          <w:lang w:eastAsia="ru-RU"/>
        </w:rPr>
        <w:t> "О видах электронной подписи, использование которых допускается при обращении за получением государственных и муниципальных услуг".</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22. Основаниями для отказа в признании молодой семьи участницей мероприятия ведомственной целевой программы являются: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несоответствие молодой семьи требованиям, предусмотренным пунктом 6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непредставление или представление не в полном объеме документов, предусмотренных пунктами 18 или 19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недостоверность сведений, содержащихся в представленных документах;</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пунктом 22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C703F7" w:rsidRPr="00C17E42" w:rsidRDefault="00C703F7" w:rsidP="00C703F7">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w:t>
      </w:r>
      <w:hyperlink r:id="rId6"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30 декабря 2017 г. N 1710</w:t>
        </w:r>
      </w:hyperlink>
      <w:r w:rsidRPr="00C17E42">
        <w:rPr>
          <w:rFonts w:ascii="Arial" w:eastAsia="Times New Roman" w:hAnsi="Arial" w:cs="Arial"/>
          <w:color w:val="222222"/>
          <w:sz w:val="24"/>
          <w:szCs w:val="24"/>
          <w:lang w:eastAsia="ru-RU"/>
        </w:rPr>
        <w:t>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w:t>
      </w:r>
      <w:r w:rsidRPr="00C17E42">
        <w:rPr>
          <w:rFonts w:ascii="Arial" w:eastAsia="Times New Roman" w:hAnsi="Arial" w:cs="Arial"/>
          <w:color w:val="222222"/>
          <w:sz w:val="24"/>
          <w:szCs w:val="24"/>
          <w:lang w:eastAsia="ru-RU"/>
        </w:rPr>
        <w:lastRenderedPageBreak/>
        <w:t>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предусмотренные подпунктами "б" - "д" пункта 18 настоящих Правил, - в случае использования социальных выплат в соответствии с подпунктами "а" - "д", "ж" и "з" пункта 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предусмотренные подпунктами "б" - "ж" и "и" пункта 19 настоящих Правил, - в случае использования социальных выплат в соответствии с подпунктами "е" и "и" пункта 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33. Орган местного самоуправления организует работу по проверке сведений, содержащихся в документах, указанных в пункте 31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w:t>
      </w:r>
      <w:r w:rsidRPr="00C17E42">
        <w:rPr>
          <w:rFonts w:ascii="Arial" w:eastAsia="Times New Roman" w:hAnsi="Arial" w:cs="Arial"/>
          <w:color w:val="222222"/>
          <w:sz w:val="24"/>
          <w:szCs w:val="24"/>
          <w:lang w:eastAsia="ru-RU"/>
        </w:rPr>
        <w:lastRenderedPageBreak/>
        <w:t>свидетельство, в письменной форме или в электронной форме посредством Единого портала.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w:t>
      </w:r>
      <w:proofErr w:type="gramStart"/>
      <w:r w:rsidRPr="00C17E42">
        <w:rPr>
          <w:rFonts w:ascii="Arial" w:eastAsia="Times New Roman" w:hAnsi="Arial" w:cs="Arial"/>
          <w:color w:val="222222"/>
          <w:sz w:val="24"/>
          <w:szCs w:val="24"/>
          <w:lang w:eastAsia="ru-RU"/>
        </w:rPr>
        <w:t>условия перечисления</w:t>
      </w:r>
      <w:proofErr w:type="gramEnd"/>
      <w:r w:rsidRPr="00C17E42">
        <w:rPr>
          <w:rFonts w:ascii="Arial" w:eastAsia="Times New Roman" w:hAnsi="Arial" w:cs="Arial"/>
          <w:color w:val="222222"/>
          <w:sz w:val="24"/>
          <w:szCs w:val="24"/>
          <w:lang w:eastAsia="ru-RU"/>
        </w:rPr>
        <w:t xml:space="preserve"> поступивших на банковский счет распорядителя счета средств.</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w:t>
      </w:r>
      <w:r w:rsidRPr="00C17E42">
        <w:rPr>
          <w:rFonts w:ascii="Arial" w:eastAsia="Times New Roman" w:hAnsi="Arial" w:cs="Arial"/>
          <w:color w:val="222222"/>
          <w:sz w:val="24"/>
          <w:szCs w:val="24"/>
          <w:lang w:eastAsia="ru-RU"/>
        </w:rPr>
        <w:lastRenderedPageBreak/>
        <w:t>представленное в банк, после заключения договора банковского счета владельцу не возвращается.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C703F7" w:rsidRPr="00C17E42" w:rsidRDefault="00C703F7" w:rsidP="00C703F7">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w:t>
      </w:r>
      <w:hyperlink r:id="rId7" w:history="1">
        <w:r w:rsidRPr="00C17E42">
          <w:rPr>
            <w:rFonts w:ascii="Arial" w:eastAsia="Times New Roman" w:hAnsi="Arial" w:cs="Arial"/>
            <w:color w:val="1B6DFD"/>
            <w:sz w:val="24"/>
            <w:szCs w:val="24"/>
            <w:bdr w:val="none" w:sz="0" w:space="0" w:color="auto" w:frame="1"/>
            <w:lang w:eastAsia="ru-RU"/>
          </w:rPr>
          <w:t>15</w:t>
        </w:r>
      </w:hyperlink>
      <w:r w:rsidRPr="00C17E42">
        <w:rPr>
          <w:rFonts w:ascii="Arial" w:eastAsia="Times New Roman" w:hAnsi="Arial" w:cs="Arial"/>
          <w:color w:val="222222"/>
          <w:sz w:val="24"/>
          <w:szCs w:val="24"/>
          <w:lang w:eastAsia="ru-RU"/>
        </w:rPr>
        <w:t> и </w:t>
      </w:r>
      <w:hyperlink r:id="rId8" w:history="1">
        <w:r w:rsidRPr="00C17E42">
          <w:rPr>
            <w:rFonts w:ascii="Arial" w:eastAsia="Times New Roman" w:hAnsi="Arial" w:cs="Arial"/>
            <w:color w:val="1B6DFD"/>
            <w:sz w:val="24"/>
            <w:szCs w:val="24"/>
            <w:bdr w:val="none" w:sz="0" w:space="0" w:color="auto" w:frame="1"/>
            <w:lang w:eastAsia="ru-RU"/>
          </w:rPr>
          <w:t>16 Жилищного кодекса Российской Федерации</w:t>
        </w:r>
      </w:hyperlink>
      <w:r w:rsidRPr="00C17E42">
        <w:rPr>
          <w:rFonts w:ascii="Arial" w:eastAsia="Times New Roman" w:hAnsi="Arial" w:cs="Arial"/>
          <w:color w:val="222222"/>
          <w:sz w:val="24"/>
          <w:szCs w:val="24"/>
          <w:lang w:eastAsia="ru-RU"/>
        </w:rPr>
        <w:t>, благоустроенных применительно к условиям населенного пункта, в котором приобретается (строится) жилое помещение для постоянного проживания.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социальной выплаты в соответствии с подпунктами "а" - "д", "ж" и "з"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В случае использования социальной выплаты в соответствии с подпунктами "ж" - "и" пункта 2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w:t>
      </w:r>
      <w:r w:rsidRPr="00C17E42">
        <w:rPr>
          <w:rFonts w:ascii="Arial" w:eastAsia="Times New Roman" w:hAnsi="Arial" w:cs="Arial"/>
          <w:color w:val="222222"/>
          <w:sz w:val="24"/>
          <w:szCs w:val="24"/>
          <w:lang w:eastAsia="ru-RU"/>
        </w:rPr>
        <w:lastRenderedPageBreak/>
        <w:t>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41. В случае использования социальной выплаты на цели, предусмотренные подпунктами "г" и "з" пункта 2 настоящих Правил, распорядитель счета представляет в банк: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а) договор банковского счета;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договор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 случае приобретения жилого помещения по договору купли-продажи - договор купли-продажи жилого помещения;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 случае строительства жилого дома - договор строительного подряда;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42. В случае использования социальной выплаты на цели, предусмотренные подпунктами "е" и "и" пункта 2 настоящих Правил, распорядитель счета представляет в банк следующие документы: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договор банковского счета;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копия договора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2 настоящих Правил, если осуществлена государственная регистрация прав собственности членов молодой семьи на указанное жилое помещение;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w:t>
      </w:r>
      <w:r w:rsidRPr="00C17E42">
        <w:rPr>
          <w:rFonts w:ascii="Arial" w:eastAsia="Times New Roman" w:hAnsi="Arial" w:cs="Arial"/>
          <w:color w:val="222222"/>
          <w:sz w:val="24"/>
          <w:szCs w:val="24"/>
          <w:lang w:eastAsia="ru-RU"/>
        </w:rPr>
        <w:lastRenderedPageBreak/>
        <w:t>социальная выплата, и сумме задолженности по выплате процентов за пользование указанным жилищным кредитом или кредитом (займом).</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средств социальной выплаты на цели, предусмотренные подпунктами "з" и "и"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б) копию устава кооператива;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выписку из реестра членов кооператива, подтверждающую его членство в кооперативе;</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копию решения о передаче жилого помещения в пользование члена кооператива.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46. Банк в течение 5 рабочих дней со дня получения документов, предусмотренных пунктами 39 - 42, 44, подпунктами "а" и "б" пункта 45 и пунктом 45(1) настоящих Правил, осуществляет проверку содержащихся в них сведений.</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w:t>
      </w:r>
      <w:r w:rsidRPr="00C17E42">
        <w:rPr>
          <w:rFonts w:ascii="Arial" w:eastAsia="Times New Roman" w:hAnsi="Arial" w:cs="Arial"/>
          <w:color w:val="222222"/>
          <w:sz w:val="24"/>
          <w:szCs w:val="24"/>
          <w:lang w:eastAsia="ru-RU"/>
        </w:rPr>
        <w:lastRenderedPageBreak/>
        <w:t>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Оригиналы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49. По соглашению сторон договор банковского счета может быть продлен, если: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 истечения срока действия договора банковского счета банк принял документы, предусмотренные пунктами 39 - 42, 44, подпунктами "а" и "б" пункта 45 и пунктом 45(1) настоящих Правил, но оплата не произведена;</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46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C703F7" w:rsidRPr="00C17E42" w:rsidRDefault="00C703F7" w:rsidP="00C703F7">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B159CF" w:rsidRDefault="00B159CF"/>
    <w:sectPr w:rsidR="00B15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F7"/>
    <w:rsid w:val="00B159CF"/>
    <w:rsid w:val="00C7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9C0B5-167A-4160-B747-3B3B7192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Zhilischnyy-kodeks/Razdel-I/Glava-2/Statya-16/" TargetMode="External"/><Relationship Id="rId3" Type="http://schemas.openxmlformats.org/officeDocument/2006/relationships/webSettings" Target="webSettings.xml"/><Relationship Id="rId7" Type="http://schemas.openxmlformats.org/officeDocument/2006/relationships/hyperlink" Target="https://rulaws.ru/Zhilischnyy-kodeks/Razdel-I/Glava-2/Statya-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goverment/Postanovlenie-Pravitelstva-RF-ot-30.12.2017-N-1710/" TargetMode="External"/><Relationship Id="rId5" Type="http://schemas.openxmlformats.org/officeDocument/2006/relationships/hyperlink" Target="https://rulaws.ru/goverment/Postanovlenie-Pravitelstva-RF-ot-25.06.2012-N-634/" TargetMode="External"/><Relationship Id="rId10" Type="http://schemas.openxmlformats.org/officeDocument/2006/relationships/theme" Target="theme/theme1.xml"/><Relationship Id="rId4" Type="http://schemas.openxmlformats.org/officeDocument/2006/relationships/hyperlink" Target="https://rulaws.ru/Zhilischnyy-kodeks/Razdel-III/Glava-7/Statya-5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8083</Words>
  <Characters>46077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2022-09-21T06:11:00Z</dcterms:created>
  <dcterms:modified xsi:type="dcterms:W3CDTF">2022-09-21T06:12:00Z</dcterms:modified>
</cp:coreProperties>
</file>